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57187" w14:textId="77777777" w:rsidR="00065C38" w:rsidRPr="005E0D2F" w:rsidRDefault="001200CB" w:rsidP="00046B89">
      <w:pPr>
        <w:spacing w:after="0" w:line="240" w:lineRule="auto"/>
        <w:jc w:val="center"/>
        <w:rPr>
          <w:b/>
          <w:sz w:val="28"/>
          <w:szCs w:val="28"/>
        </w:rPr>
      </w:pPr>
      <w:bookmarkStart w:id="0" w:name="_Hlk491941697"/>
      <w:bookmarkStart w:id="1" w:name="_GoBack"/>
      <w:bookmarkEnd w:id="1"/>
      <w:r w:rsidRPr="005E0D2F">
        <w:rPr>
          <w:b/>
          <w:sz w:val="28"/>
          <w:szCs w:val="28"/>
        </w:rPr>
        <w:t xml:space="preserve">An Exploratory Study on </w:t>
      </w:r>
      <w:r w:rsidR="00065C38" w:rsidRPr="005E0D2F">
        <w:rPr>
          <w:b/>
          <w:sz w:val="28"/>
          <w:szCs w:val="28"/>
        </w:rPr>
        <w:t>Musharakah</w:t>
      </w:r>
      <w:r w:rsidR="00851A8D" w:rsidRPr="005E0D2F">
        <w:rPr>
          <w:b/>
          <w:sz w:val="28"/>
          <w:szCs w:val="28"/>
        </w:rPr>
        <w:t xml:space="preserve"> </w:t>
      </w:r>
      <w:r w:rsidR="00065C38" w:rsidRPr="005E0D2F">
        <w:rPr>
          <w:b/>
          <w:sz w:val="28"/>
          <w:szCs w:val="28"/>
        </w:rPr>
        <w:t>SRI Sukuk</w:t>
      </w:r>
    </w:p>
    <w:p w14:paraId="61157218" w14:textId="32110D47" w:rsidR="001200CB" w:rsidRPr="005E0D2F" w:rsidRDefault="00065C38" w:rsidP="00046B89">
      <w:pPr>
        <w:spacing w:after="0" w:line="240" w:lineRule="auto"/>
        <w:jc w:val="center"/>
        <w:rPr>
          <w:b/>
          <w:sz w:val="28"/>
          <w:szCs w:val="28"/>
        </w:rPr>
      </w:pPr>
      <w:r w:rsidRPr="005E0D2F">
        <w:rPr>
          <w:b/>
          <w:sz w:val="28"/>
          <w:szCs w:val="28"/>
        </w:rPr>
        <w:t>f</w:t>
      </w:r>
      <w:r w:rsidR="001200CB" w:rsidRPr="005E0D2F">
        <w:rPr>
          <w:b/>
          <w:sz w:val="28"/>
          <w:szCs w:val="28"/>
        </w:rPr>
        <w:t>or the</w:t>
      </w:r>
      <w:r w:rsidR="00262003" w:rsidRPr="005E0D2F">
        <w:rPr>
          <w:b/>
          <w:sz w:val="28"/>
          <w:szCs w:val="28"/>
        </w:rPr>
        <w:t xml:space="preserve"> </w:t>
      </w:r>
      <w:r w:rsidR="001200CB" w:rsidRPr="005E0D2F">
        <w:rPr>
          <w:b/>
          <w:sz w:val="28"/>
          <w:szCs w:val="28"/>
        </w:rPr>
        <w:t>Development of Waqf Properties/Assets in Malaysia</w:t>
      </w:r>
    </w:p>
    <w:bookmarkEnd w:id="0"/>
    <w:p w14:paraId="30E59276" w14:textId="77777777" w:rsidR="00334E8A" w:rsidRDefault="00334E8A" w:rsidP="00046B89">
      <w:pPr>
        <w:spacing w:after="0" w:line="240" w:lineRule="auto"/>
        <w:jc w:val="center"/>
        <w:rPr>
          <w:sz w:val="28"/>
        </w:rPr>
      </w:pPr>
    </w:p>
    <w:p w14:paraId="338F0DF1" w14:textId="4FD6E8EF" w:rsidR="003A570C" w:rsidRDefault="005E0D2F" w:rsidP="00046B89">
      <w:pPr>
        <w:spacing w:after="0" w:line="240" w:lineRule="auto"/>
        <w:jc w:val="center"/>
        <w:rPr>
          <w:sz w:val="28"/>
        </w:rPr>
      </w:pPr>
      <w:r>
        <w:rPr>
          <w:sz w:val="28"/>
        </w:rPr>
        <w:t>Zulkarnain Muhamad Sori and Nor Syahirah Zain</w:t>
      </w:r>
    </w:p>
    <w:p w14:paraId="07FBC639" w14:textId="7B235E7D" w:rsidR="003A570C" w:rsidRDefault="003A570C" w:rsidP="00046B89">
      <w:pPr>
        <w:spacing w:after="0" w:line="240" w:lineRule="auto"/>
        <w:jc w:val="center"/>
        <w:rPr>
          <w:sz w:val="28"/>
        </w:rPr>
      </w:pPr>
      <w:r>
        <w:rPr>
          <w:sz w:val="28"/>
        </w:rPr>
        <w:t>INCEIF, Kuala Lumpur, Malaysia</w:t>
      </w:r>
    </w:p>
    <w:p w14:paraId="12169917" w14:textId="77777777" w:rsidR="003A570C" w:rsidRPr="00BB256C" w:rsidRDefault="003A570C" w:rsidP="00046B89">
      <w:pPr>
        <w:spacing w:after="0" w:line="240" w:lineRule="auto"/>
        <w:jc w:val="center"/>
        <w:rPr>
          <w:sz w:val="28"/>
        </w:rPr>
      </w:pPr>
    </w:p>
    <w:p w14:paraId="30E59277" w14:textId="77777777" w:rsidR="00A02396" w:rsidRPr="002E4784" w:rsidRDefault="00A02396" w:rsidP="00046B89">
      <w:pPr>
        <w:pStyle w:val="Heading1"/>
      </w:pPr>
      <w:r w:rsidRPr="002E4784">
        <w:t>Abstract</w:t>
      </w:r>
    </w:p>
    <w:p w14:paraId="2D06BBB1" w14:textId="228FE6C3" w:rsidR="007F2604" w:rsidRDefault="00A02396" w:rsidP="00046B89">
      <w:pPr>
        <w:spacing w:after="0" w:line="240" w:lineRule="auto"/>
      </w:pPr>
      <w:r w:rsidRPr="00F67777">
        <w:rPr>
          <w:b/>
        </w:rPr>
        <w:t>Purpose</w:t>
      </w:r>
      <w:r w:rsidR="00F67777">
        <w:rPr>
          <w:b/>
        </w:rPr>
        <w:t>:</w:t>
      </w:r>
      <w:r w:rsidR="00F67777">
        <w:t xml:space="preserve"> </w:t>
      </w:r>
      <w:bookmarkStart w:id="2" w:name="_Hlk491941687"/>
      <w:r w:rsidR="00B26AA2">
        <w:t>This</w:t>
      </w:r>
      <w:r w:rsidR="002D602B">
        <w:t xml:space="preserve"> study aims to explore </w:t>
      </w:r>
      <w:r w:rsidR="00655AAF">
        <w:t>a</w:t>
      </w:r>
      <w:r w:rsidR="00B26AA2">
        <w:t xml:space="preserve"> sustainable and responsible investment (SRI) sukuk model</w:t>
      </w:r>
      <w:r w:rsidR="002D602B">
        <w:t xml:space="preserve"> </w:t>
      </w:r>
      <w:r w:rsidR="0043792A">
        <w:t xml:space="preserve">based on </w:t>
      </w:r>
      <w:r w:rsidR="00065C38">
        <w:t>Musharakah</w:t>
      </w:r>
      <w:r w:rsidR="0043792A">
        <w:t xml:space="preserve"> </w:t>
      </w:r>
      <w:r w:rsidR="002D602B">
        <w:t xml:space="preserve">that could be implemented </w:t>
      </w:r>
      <w:r w:rsidR="002D602B">
        <w:rPr>
          <w:rFonts w:eastAsiaTheme="majorEastAsia"/>
        </w:rPr>
        <w:t>to develop waqf properties and assets</w:t>
      </w:r>
      <w:r w:rsidR="002D602B">
        <w:t xml:space="preserve"> under the SRI sukuk framework in Malaysia. This includes proposing and designing</w:t>
      </w:r>
      <w:r w:rsidR="00B26AA2">
        <w:t xml:space="preserve"> a potential</w:t>
      </w:r>
      <w:r w:rsidR="002D602B">
        <w:t xml:space="preserve"> SRI sukuk model</w:t>
      </w:r>
      <w:r w:rsidR="00B26AA2">
        <w:t xml:space="preserve"> and seeking the opinion of subject-matter experts and industry practitioners on the model, its attractiveness to investors and its feasibility to implement in Malaysia. </w:t>
      </w:r>
      <w:bookmarkEnd w:id="2"/>
    </w:p>
    <w:p w14:paraId="12873625" w14:textId="77777777" w:rsidR="007F2604" w:rsidRDefault="007F2604" w:rsidP="00046B89">
      <w:pPr>
        <w:spacing w:after="0" w:line="240" w:lineRule="auto"/>
      </w:pPr>
    </w:p>
    <w:p w14:paraId="75D7A18D" w14:textId="4FB8071C" w:rsidR="00B26AA2" w:rsidRDefault="00A02396" w:rsidP="00046B89">
      <w:pPr>
        <w:spacing w:after="0" w:line="240" w:lineRule="auto"/>
      </w:pPr>
      <w:r w:rsidRPr="00F67777">
        <w:rPr>
          <w:b/>
        </w:rPr>
        <w:t>Design/Methodology/Approach</w:t>
      </w:r>
      <w:r w:rsidR="00F67777">
        <w:rPr>
          <w:b/>
        </w:rPr>
        <w:t xml:space="preserve">: </w:t>
      </w:r>
      <w:bookmarkStart w:id="3" w:name="_Hlk491941730"/>
      <w:r w:rsidR="00B26AA2">
        <w:t>The study adopts desk research</w:t>
      </w:r>
      <w:r w:rsidR="00655AAF">
        <w:t xml:space="preserve"> and semi-structured interview as its methodology. A desk research is where a detailed critical review and analysis of past literature from reports, journals, framework, books and practices are undertaken. To establish a SRI sukuk model, the paper also studies the cases of </w:t>
      </w:r>
      <w:r w:rsidR="00262003">
        <w:t xml:space="preserve">the first SRI sukuk issued in Malaysia and other </w:t>
      </w:r>
      <w:r w:rsidR="00655AAF">
        <w:t>waqf-related sukuk</w:t>
      </w:r>
      <w:r w:rsidR="00262003">
        <w:t>s that have</w:t>
      </w:r>
      <w:r w:rsidR="00655AAF">
        <w:t xml:space="preserve"> been structured for the development of waqf </w:t>
      </w:r>
      <w:r w:rsidR="00262003">
        <w:t>property/</w:t>
      </w:r>
      <w:r w:rsidR="00655AAF">
        <w:t xml:space="preserve">asset in the past. </w:t>
      </w:r>
      <w:r w:rsidR="00262003">
        <w:t>Following that, t</w:t>
      </w:r>
      <w:r w:rsidR="00655AAF">
        <w:t>he</w:t>
      </w:r>
      <w:r w:rsidR="00262003">
        <w:t xml:space="preserve"> opinion</w:t>
      </w:r>
      <w:r w:rsidR="00655AAF">
        <w:t xml:space="preserve"> of subject-matter experts and industry practitioners </w:t>
      </w:r>
      <w:r w:rsidR="00262003">
        <w:t>on the proposed SRI sukuk model is</w:t>
      </w:r>
      <w:r w:rsidR="00655AAF">
        <w:t xml:space="preserve"> sought </w:t>
      </w:r>
      <w:r w:rsidR="00262003">
        <w:t>in</w:t>
      </w:r>
      <w:r w:rsidR="00655AAF">
        <w:t xml:space="preserve"> a semi-structured interview.</w:t>
      </w:r>
      <w:bookmarkEnd w:id="3"/>
    </w:p>
    <w:p w14:paraId="1B8977B2" w14:textId="77777777" w:rsidR="00B26AA2" w:rsidRPr="00F67777" w:rsidRDefault="00B26AA2" w:rsidP="00046B89">
      <w:pPr>
        <w:spacing w:after="0" w:line="240" w:lineRule="auto"/>
        <w:rPr>
          <w:b/>
        </w:rPr>
      </w:pPr>
    </w:p>
    <w:p w14:paraId="33D2C443" w14:textId="590943B5" w:rsidR="0046477C" w:rsidRDefault="00A02396" w:rsidP="00046B89">
      <w:pPr>
        <w:spacing w:after="0" w:line="240" w:lineRule="auto"/>
      </w:pPr>
      <w:r w:rsidRPr="00F67777">
        <w:rPr>
          <w:b/>
        </w:rPr>
        <w:t>Findings</w:t>
      </w:r>
      <w:r w:rsidR="0074139B">
        <w:rPr>
          <w:b/>
        </w:rPr>
        <w:t xml:space="preserve">: </w:t>
      </w:r>
      <w:bookmarkStart w:id="4" w:name="_Hlk491941739"/>
      <w:r w:rsidR="00B26AA2">
        <w:t xml:space="preserve">Based on the interviewees’ response, the study </w:t>
      </w:r>
      <w:r w:rsidR="00655AAF">
        <w:t>proposes</w:t>
      </w:r>
      <w:r w:rsidR="00B26AA2">
        <w:t xml:space="preserve"> the most feasible SRI sukuk model that could be implemented in the Malaysian context for the development of waqf </w:t>
      </w:r>
      <w:r w:rsidR="00DC0294">
        <w:t>properties/assets,</w:t>
      </w:r>
      <w:r w:rsidR="00262003">
        <w:t xml:space="preserve"> which is an </w:t>
      </w:r>
      <w:r w:rsidR="00065C38">
        <w:t>Musharakah</w:t>
      </w:r>
      <w:r w:rsidR="00262003">
        <w:t>-based sukuk</w:t>
      </w:r>
      <w:r w:rsidR="00B26AA2">
        <w:t xml:space="preserve">. The </w:t>
      </w:r>
      <w:r w:rsidR="00DC0294">
        <w:t>model will be elaborated based on</w:t>
      </w:r>
      <w:r w:rsidR="00655AAF">
        <w:t xml:space="preserve"> the purpose of development, </w:t>
      </w:r>
      <w:r w:rsidR="00262003">
        <w:t xml:space="preserve">functionality, </w:t>
      </w:r>
      <w:r w:rsidR="00DC0294">
        <w:t xml:space="preserve">choice of </w:t>
      </w:r>
      <w:r w:rsidR="00655AAF">
        <w:t xml:space="preserve">Shari’ah contract, </w:t>
      </w:r>
      <w:r w:rsidR="00DC0294">
        <w:t xml:space="preserve">obligor and </w:t>
      </w:r>
      <w:r w:rsidR="00655AAF">
        <w:t>return mechanism</w:t>
      </w:r>
      <w:r w:rsidR="00DC0294">
        <w:t>.</w:t>
      </w:r>
      <w:bookmarkEnd w:id="4"/>
    </w:p>
    <w:p w14:paraId="57F68854" w14:textId="7AC87D10" w:rsidR="00DD0127" w:rsidRPr="00F67777" w:rsidRDefault="00DD0127" w:rsidP="00046B89">
      <w:pPr>
        <w:spacing w:after="0" w:line="240" w:lineRule="auto"/>
        <w:rPr>
          <w:b/>
        </w:rPr>
      </w:pPr>
    </w:p>
    <w:p w14:paraId="3E307704" w14:textId="27F7B8A9" w:rsidR="0046477C" w:rsidRDefault="00A02396" w:rsidP="00046B89">
      <w:pPr>
        <w:spacing w:after="0" w:line="240" w:lineRule="auto"/>
      </w:pPr>
      <w:r w:rsidRPr="00F67777">
        <w:rPr>
          <w:b/>
        </w:rPr>
        <w:t>Research Limitations/Implications</w:t>
      </w:r>
      <w:r w:rsidR="00F67777">
        <w:rPr>
          <w:b/>
        </w:rPr>
        <w:t xml:space="preserve">: </w:t>
      </w:r>
      <w:bookmarkStart w:id="5" w:name="_Hlk491941747"/>
      <w:r w:rsidR="0046477C">
        <w:t xml:space="preserve">This paper is exploratory in nature. </w:t>
      </w:r>
      <w:r w:rsidR="001200CB">
        <w:t>While it explores the structural point of view only, future research</w:t>
      </w:r>
      <w:r w:rsidR="00262003">
        <w:t xml:space="preserve"> could</w:t>
      </w:r>
      <w:r w:rsidR="001200CB">
        <w:t xml:space="preserve"> analyse and identify the legal, regulatory, financial and Shari’a</w:t>
      </w:r>
      <w:r w:rsidR="00262003">
        <w:t>h aspects of the proposed model</w:t>
      </w:r>
      <w:r w:rsidR="001200CB">
        <w:t>. Further empirical studies can be done to provide more comprehensive idea and knowledge regarding the subject matter.</w:t>
      </w:r>
      <w:bookmarkEnd w:id="5"/>
    </w:p>
    <w:p w14:paraId="4AB3D661" w14:textId="573BD5A9" w:rsidR="0046477C" w:rsidRPr="0074139B" w:rsidRDefault="0074139B" w:rsidP="00046B89">
      <w:pPr>
        <w:spacing w:after="0" w:line="240" w:lineRule="auto"/>
      </w:pPr>
      <w:r>
        <w:t xml:space="preserve"> </w:t>
      </w:r>
    </w:p>
    <w:p w14:paraId="52F8772C" w14:textId="1AA411B0" w:rsidR="0046477C" w:rsidRDefault="00024F96" w:rsidP="00046B89">
      <w:pPr>
        <w:spacing w:after="0" w:line="240" w:lineRule="auto"/>
        <w:rPr>
          <w:rFonts w:eastAsia="Times New Roman"/>
          <w:color w:val="000000" w:themeColor="text1"/>
          <w:spacing w:val="5"/>
          <w:shd w:val="clear" w:color="auto" w:fill="FFFFFF"/>
        </w:rPr>
      </w:pPr>
      <w:r w:rsidRPr="00F67777">
        <w:rPr>
          <w:b/>
        </w:rPr>
        <w:t>Practical implication</w:t>
      </w:r>
      <w:r w:rsidR="00F67777">
        <w:rPr>
          <w:b/>
        </w:rPr>
        <w:t xml:space="preserve">: </w:t>
      </w:r>
      <w:bookmarkStart w:id="6" w:name="_Hlk491941762"/>
      <w:r w:rsidR="00DC0294">
        <w:t xml:space="preserve">The study serves great benefit to the government, waqf administrators, regulators, policy makers, foundations, corporations and interested investors to explore SRI sukuk as one of the </w:t>
      </w:r>
      <w:r w:rsidR="00262003">
        <w:t xml:space="preserve">feasible </w:t>
      </w:r>
      <w:r w:rsidR="00DC0294">
        <w:t>financial instruments to develop waqf</w:t>
      </w:r>
      <w:r w:rsidR="00262003">
        <w:t xml:space="preserve"> in Malaysia</w:t>
      </w:r>
      <w:r w:rsidR="00DC0294">
        <w:t xml:space="preserve">. </w:t>
      </w:r>
      <w:bookmarkEnd w:id="6"/>
    </w:p>
    <w:p w14:paraId="0EEBB17B" w14:textId="77777777" w:rsidR="00DC0294" w:rsidRPr="00F67777" w:rsidRDefault="00DC0294" w:rsidP="00046B89">
      <w:pPr>
        <w:spacing w:after="0" w:line="240" w:lineRule="auto"/>
        <w:rPr>
          <w:b/>
        </w:rPr>
      </w:pPr>
    </w:p>
    <w:p w14:paraId="4E573E2B" w14:textId="610C554C" w:rsidR="0046477C" w:rsidRDefault="00F35EC6" w:rsidP="00046B89">
      <w:pPr>
        <w:spacing w:after="0" w:line="240" w:lineRule="auto"/>
      </w:pPr>
      <w:r w:rsidRPr="00F67777">
        <w:rPr>
          <w:b/>
        </w:rPr>
        <w:t>Originality/Value</w:t>
      </w:r>
      <w:r w:rsidR="00F67777">
        <w:rPr>
          <w:b/>
        </w:rPr>
        <w:t xml:space="preserve">: </w:t>
      </w:r>
      <w:bookmarkStart w:id="7" w:name="_Hlk491941768"/>
      <w:r w:rsidR="00DC0294">
        <w:rPr>
          <w:rFonts w:eastAsia="Times New Roman"/>
          <w:color w:val="000000" w:themeColor="text1"/>
          <w:spacing w:val="5"/>
          <w:shd w:val="clear" w:color="auto" w:fill="FFFFFF"/>
        </w:rPr>
        <w:t>This study proposes the use of an innovative financial instrument called SRI sukuk and structure a feasible SRI sukuk model to help realise the true roles of waqf as not only a religious tool, but also as one of the instruments for human, economic and social developments.</w:t>
      </w:r>
      <w:bookmarkEnd w:id="7"/>
    </w:p>
    <w:p w14:paraId="7C62E3B5" w14:textId="77777777" w:rsidR="0046477C" w:rsidRPr="00F67777" w:rsidRDefault="0046477C" w:rsidP="00046B89">
      <w:pPr>
        <w:spacing w:after="0" w:line="240" w:lineRule="auto"/>
        <w:rPr>
          <w:b/>
        </w:rPr>
      </w:pPr>
    </w:p>
    <w:p w14:paraId="30E5927E" w14:textId="2FBDB1D7" w:rsidR="00024F96" w:rsidRDefault="00F35EC6" w:rsidP="00046B89">
      <w:pPr>
        <w:spacing w:after="0" w:line="240" w:lineRule="auto"/>
      </w:pPr>
      <w:r w:rsidRPr="00F67777">
        <w:rPr>
          <w:b/>
        </w:rPr>
        <w:t>Keywords</w:t>
      </w:r>
      <w:r w:rsidR="00F67777">
        <w:rPr>
          <w:b/>
        </w:rPr>
        <w:t xml:space="preserve">: </w:t>
      </w:r>
      <w:bookmarkStart w:id="8" w:name="_Hlk491941778"/>
      <w:r w:rsidR="00DC0294">
        <w:t xml:space="preserve">SRI sukuk, Waqf properties/assets, feasibility, </w:t>
      </w:r>
      <w:r w:rsidR="001200CB">
        <w:t xml:space="preserve">Sukuk </w:t>
      </w:r>
      <w:r w:rsidR="00065C38">
        <w:t>Musharakah</w:t>
      </w:r>
      <w:r w:rsidR="001200CB">
        <w:t>.</w:t>
      </w:r>
      <w:r w:rsidR="00024F96">
        <w:t xml:space="preserve"> </w:t>
      </w:r>
      <w:bookmarkEnd w:id="8"/>
    </w:p>
    <w:p w14:paraId="6915FE8C" w14:textId="77777777" w:rsidR="005E0D2F" w:rsidRDefault="005E0D2F">
      <w:pPr>
        <w:spacing w:after="160"/>
        <w:jc w:val="left"/>
        <w:rPr>
          <w:rFonts w:eastAsiaTheme="majorEastAsia"/>
          <w:b/>
          <w:color w:val="000000" w:themeColor="text1"/>
          <w:spacing w:val="-10"/>
          <w:kern w:val="28"/>
        </w:rPr>
      </w:pPr>
      <w:r>
        <w:br w:type="page"/>
      </w:r>
    </w:p>
    <w:p w14:paraId="39356700" w14:textId="03B59B5D" w:rsidR="00F86DB3" w:rsidRDefault="00721A5C" w:rsidP="00046B89">
      <w:pPr>
        <w:pStyle w:val="Heading1"/>
      </w:pPr>
      <w:r w:rsidRPr="00913D3F">
        <w:lastRenderedPageBreak/>
        <w:t>Introduction</w:t>
      </w:r>
    </w:p>
    <w:p w14:paraId="40D91BCD" w14:textId="270E6555" w:rsidR="00F86DB3" w:rsidRDefault="00F86DB3" w:rsidP="00046B89">
      <w:pPr>
        <w:widowControl w:val="0"/>
        <w:autoSpaceDE w:val="0"/>
        <w:autoSpaceDN w:val="0"/>
        <w:adjustRightInd w:val="0"/>
        <w:spacing w:line="240" w:lineRule="auto"/>
      </w:pPr>
      <w:r w:rsidRPr="006F131F">
        <w:t xml:space="preserve">Islamic Finance started as a promising sector in the 1970s mainly focusing on Shari’ah compliant banking and hajj funds. Today, Islamic finance has grown to become an important segment in the international financial system, with estimated assets close to approximately USD2 trillion and compound annual growth rate of 15.4% </w:t>
      </w:r>
      <w:r w:rsidRPr="006F131F">
        <w:fldChar w:fldCharType="begin" w:fldLock="1"/>
      </w:r>
      <w:r w:rsidRPr="006F131F">
        <w:instrText>ADDIN CSL_CITATION { "citationItems" : [ { "id" : "ITEM-1", "itemData" : { "DOI" : "10.1017/CBO9781107415324.004", "ISBN" : "9788578110796", "ISSN" : "1098-6596", "PMID" : "25246403", "author" : [ { "dropping-particle" : "", "family" : "IFSB", "given" : "", "non-dropping-particle" : "", "parse-names" : false, "suffix" : "" } ], "container-title" : "Bank Negara Malaysia", "id" : "ITEM-1", "issued" : { "date-parts" : [ [ "2016" ] ] }, "number-of-pages" : "163", "title" : "Islamic Financial Services Board Stability Report 2016", "type" : "report", "volume" : "1" }, "uris" : [ "http://www.mendeley.com/documents/?uuid=0b938474-0b59-4f0f-b393-234144194e47" ] } ], "mendeley" : { "formattedCitation" : "(IFSB, 2016)", "plainTextFormattedCitation" : "(IFSB, 2016)", "previouslyFormattedCitation" : "(IFSB, 2016)" }, "properties" : { "noteIndex" : 0 }, "schema" : "https://github.com/citation-style-language/schema/raw/master/csl-citation.json" }</w:instrText>
      </w:r>
      <w:r w:rsidRPr="006F131F">
        <w:fldChar w:fldCharType="separate"/>
      </w:r>
      <w:r w:rsidRPr="006F131F">
        <w:rPr>
          <w:noProof/>
        </w:rPr>
        <w:t>(IFSB, 2016)</w:t>
      </w:r>
      <w:r w:rsidRPr="006F131F">
        <w:fldChar w:fldCharType="end"/>
      </w:r>
      <w:r w:rsidRPr="006F131F">
        <w:t xml:space="preserve">. By the end of 2018, the market size is </w:t>
      </w:r>
      <w:r w:rsidRPr="006F131F">
        <w:rPr>
          <w:rFonts w:eastAsia="Times New Roman"/>
        </w:rPr>
        <w:t>expected to reach USD3.4 trillion</w:t>
      </w:r>
      <w:r>
        <w:rPr>
          <w:rFonts w:eastAsia="Times New Roman"/>
        </w:rPr>
        <w:t xml:space="preserve"> </w:t>
      </w:r>
      <w:r>
        <w:rPr>
          <w:rFonts w:eastAsia="Times New Roman"/>
        </w:rPr>
        <w:fldChar w:fldCharType="begin" w:fldLock="1"/>
      </w:r>
      <w:r>
        <w:rPr>
          <w:rFonts w:eastAsia="Times New Roman"/>
        </w:rPr>
        <w:instrText>ADDIN CSL_CITATION { "citationItems" : [ { "id" : "ITEM-1", "itemData" : { "author" : [ { "dropping-particle" : "", "family" : "Mohammed", "given" : "Naveed", "non-dropping-particle" : "", "parse-names" : false, "suffix" : "" } ], "container-title" : "Islamic Finance", "id" : "ITEM-1", "issued" : { "date-parts" : [ [ "2016" ] ] }, "title" : "The Size of the Islamic Finance Market", "type" : "webpage" }, "uris" : [ "http://www.mendeley.com/documents/?uuid=b464dd4d-e564-4db3-8730-c3a5f20369d8" ] } ], "mendeley" : { "formattedCitation" : "(Mohammed, 2016)", "plainTextFormattedCitation" : "(Mohammed, 2016)", "previouslyFormattedCitation" : "(Mohammed, 2016)" }, "properties" : { "noteIndex" : 0 }, "schema" : "https://github.com/citation-style-language/schema/raw/master/csl-citation.json" }</w:instrText>
      </w:r>
      <w:r>
        <w:rPr>
          <w:rFonts w:eastAsia="Times New Roman"/>
        </w:rPr>
        <w:fldChar w:fldCharType="separate"/>
      </w:r>
      <w:r w:rsidRPr="0003684C">
        <w:rPr>
          <w:rFonts w:eastAsia="Times New Roman"/>
          <w:noProof/>
        </w:rPr>
        <w:t>(Mohammed, 2016)</w:t>
      </w:r>
      <w:r>
        <w:rPr>
          <w:rFonts w:eastAsia="Times New Roman"/>
        </w:rPr>
        <w:fldChar w:fldCharType="end"/>
      </w:r>
      <w:r w:rsidRPr="006F131F">
        <w:rPr>
          <w:rFonts w:eastAsia="Times New Roman"/>
        </w:rPr>
        <w:t xml:space="preserve">. Concurrently, </w:t>
      </w:r>
      <w:r w:rsidRPr="006F131F">
        <w:t xml:space="preserve">the </w:t>
      </w:r>
      <w:r w:rsidRPr="006F131F">
        <w:rPr>
          <w:color w:val="000000" w:themeColor="text1"/>
        </w:rPr>
        <w:t xml:space="preserve">Sustainable and Responsible Investment (SRI) has also been growing and </w:t>
      </w:r>
      <w:r w:rsidRPr="006F131F">
        <w:t xml:space="preserve">gaining more prominence in recent years. At the start of 2016, global SRI reached USD22.89 trillion, an increase of 25% compared to USD18.28 trillion in 2014 </w:t>
      </w:r>
      <w:r w:rsidRPr="006F131F">
        <w:rPr>
          <w:color w:val="000000" w:themeColor="text1"/>
        </w:rPr>
        <w:fldChar w:fldCharType="begin" w:fldLock="1"/>
      </w:r>
      <w:r w:rsidRPr="006F131F">
        <w:rPr>
          <w:color w:val="000000" w:themeColor="text1"/>
        </w:rPr>
        <w:instrText>ADDIN CSL_CITATION { "citationItems" : [ { "id" : "ITEM-1", "itemData" : { "author" : [ { "dropping-particle" : "", "family" : "Global Sustainable Investment Alliance", "given" : "", "non-dropping-particle" : "", "parse-names" : false, "suffix" : "" } ], "id" : "ITEM-1", "issued" : { "date-parts" : [ [ "2016" ] ] }, "title" : "Global Sustainable Investment Review", "type" : "report" }, "uris" : [ "http://www.mendeley.com/documents/?uuid=dfc3205d-fe52-48ce-a83d-af48b460f911" ] } ], "mendeley" : { "formattedCitation" : "(Global Sustainable Investment Alliance, 2016)", "plainTextFormattedCitation" : "(Global Sustainable Investment Alliance, 2016)", "previouslyFormattedCitation" : "(Global Sustainable Investment Alliance, 2016)" }, "properties" : { "noteIndex" : 0 }, "schema" : "https://github.com/citation-style-language/schema/raw/master/csl-citation.json" }</w:instrText>
      </w:r>
      <w:r w:rsidRPr="006F131F">
        <w:rPr>
          <w:color w:val="000000" w:themeColor="text1"/>
        </w:rPr>
        <w:fldChar w:fldCharType="separate"/>
      </w:r>
      <w:r w:rsidRPr="006F131F">
        <w:rPr>
          <w:noProof/>
          <w:color w:val="000000" w:themeColor="text1"/>
        </w:rPr>
        <w:t>(Global Sustainable Investment Alliance, 2016)</w:t>
      </w:r>
      <w:r w:rsidRPr="006F131F">
        <w:rPr>
          <w:color w:val="000000" w:themeColor="text1"/>
        </w:rPr>
        <w:fldChar w:fldCharType="end"/>
      </w:r>
      <w:r w:rsidRPr="006F131F">
        <w:t xml:space="preserve">. </w:t>
      </w:r>
      <w:r w:rsidRPr="006F131F">
        <w:rPr>
          <w:color w:val="000000" w:themeColor="text1"/>
        </w:rPr>
        <w:t xml:space="preserve">In the United States alone, the estimated market size of SRI is estimated to be USD8.72 trillion as of 2016, a 33% increase since 2014, while SRI assets in Europe and Canada are estimated to be over USD12 trillion and USD1 trillion, respectively. This growing attention on SRI is due to the increasing awareness of policy makers and investors globally in investing in more sustainable and responsible investments that contribute to the advancements in social, environmental and governance practices </w:t>
      </w:r>
      <w:r>
        <w:rPr>
          <w:color w:val="000000" w:themeColor="text1"/>
        </w:rPr>
        <w:fldChar w:fldCharType="begin" w:fldLock="1"/>
      </w:r>
      <w:r>
        <w:rPr>
          <w:color w:val="000000" w:themeColor="text1"/>
        </w:rPr>
        <w:instrText>ADDIN CSL_CITATION { "citationItems" : [ { "id" : "ITEM-1", "itemData" : { "URL" : "http://www.ussif.org/sribasics", "author" : [ { "dropping-particle" : "", "family" : "US SIF", "given" : "", "non-dropping-particle" : "", "parse-names" : false, "suffix" : "" } ], "id" : "ITEM-1", "issued" : { "date-parts" : [ [ "2016" ] ] }, "title" : "SRI Basics", "type" : "webpage" }, "uris" : [ "http://www.mendeley.com/documents/?uuid=6131c4a5-d685-4f3f-914f-5a95ac69111c" ] } ], "mendeley" : { "formattedCitation" : "(US SIF, 2016b)", "plainTextFormattedCitation" : "(US SIF, 2016b)", "previouslyFormattedCitation" : "(US SIF, 2016b)" }, "properties" : { "noteIndex" : 0 }, "schema" : "https://github.com/citation-style-language/schema/raw/master/csl-citation.json" }</w:instrText>
      </w:r>
      <w:r>
        <w:rPr>
          <w:color w:val="000000" w:themeColor="text1"/>
        </w:rPr>
        <w:fldChar w:fldCharType="separate"/>
      </w:r>
      <w:r w:rsidRPr="00DD562B">
        <w:rPr>
          <w:noProof/>
          <w:color w:val="000000" w:themeColor="text1"/>
        </w:rPr>
        <w:t>(US SIF, 2016b)</w:t>
      </w:r>
      <w:r>
        <w:rPr>
          <w:color w:val="000000" w:themeColor="text1"/>
        </w:rPr>
        <w:fldChar w:fldCharType="end"/>
      </w:r>
      <w:r>
        <w:rPr>
          <w:color w:val="000000" w:themeColor="text1"/>
        </w:rPr>
        <w:t>.</w:t>
      </w:r>
    </w:p>
    <w:p w14:paraId="4DA4059E" w14:textId="4AB65695" w:rsidR="00F86DB3" w:rsidRDefault="00F86DB3" w:rsidP="00046B89">
      <w:pPr>
        <w:widowControl w:val="0"/>
        <w:autoSpaceDE w:val="0"/>
        <w:autoSpaceDN w:val="0"/>
        <w:adjustRightInd w:val="0"/>
        <w:spacing w:line="240" w:lineRule="auto"/>
        <w:rPr>
          <w:color w:val="000000" w:themeColor="text1"/>
        </w:rPr>
      </w:pPr>
      <w:r w:rsidRPr="006F131F">
        <w:t>In the pursuit of integrating Islamic Finance and SRI and making them relevant to the local context, the Sustainable and Responsible Investment (SRI) Sukuk Framework was launched by Securities Commission of Malaysia</w:t>
      </w:r>
      <w:r>
        <w:t xml:space="preserve"> (SC)</w:t>
      </w:r>
      <w:r w:rsidRPr="006F131F">
        <w:t xml:space="preserve"> in 2014 as an extension of the existing sukuk framework </w:t>
      </w:r>
      <w:r w:rsidRPr="006F131F">
        <w:rPr>
          <w:color w:val="000000"/>
        </w:rPr>
        <w:t xml:space="preserve">to facilitate a conducive ecosystem for SRI investors and issuers. </w:t>
      </w:r>
      <w:r w:rsidRPr="006F131F">
        <w:rPr>
          <w:color w:val="000000" w:themeColor="text1"/>
        </w:rPr>
        <w:t xml:space="preserve">This framework </w:t>
      </w:r>
      <w:r w:rsidR="007D6599">
        <w:rPr>
          <w:color w:val="000000" w:themeColor="text1"/>
        </w:rPr>
        <w:t>i</w:t>
      </w:r>
      <w:r w:rsidRPr="006F131F">
        <w:rPr>
          <w:color w:val="000000" w:themeColor="text1"/>
        </w:rPr>
        <w:t xml:space="preserve">s certainly beneficial </w:t>
      </w:r>
      <w:r w:rsidRPr="006F131F">
        <w:rPr>
          <w:color w:val="000000"/>
        </w:rPr>
        <w:t>for</w:t>
      </w:r>
      <w:r w:rsidRPr="006F131F">
        <w:rPr>
          <w:color w:val="000000" w:themeColor="text1"/>
        </w:rPr>
        <w:t xml:space="preserve"> the natural progression of the sukuk market due to the growing awareness of investors and institutions towards ethically and socially responsible investment </w:t>
      </w:r>
      <w:r w:rsidRPr="006F131F">
        <w:rPr>
          <w:color w:val="000000" w:themeColor="text1"/>
        </w:rPr>
        <w:fldChar w:fldCharType="begin" w:fldLock="1"/>
      </w:r>
      <w:r w:rsidRPr="006F131F">
        <w:rPr>
          <w:color w:val="000000" w:themeColor="text1"/>
        </w:rPr>
        <w:instrText>ADDIN CSL_CITATION { "citationItems" : [ { "id" : "ITEM-1", "itemData" : { "author" : [ { "dropping-particle" : "", "family" : "MIFC", "given" : "", "non-dropping-particle" : "", "parse-names" : false, "suffix" : "" } ], "id" : "ITEM-1", "issue" : "January", "issued" : { "date-parts" : [ [ "2016" ] ] }, "title" : "SRI &amp; Green Sukuk : Challenges &amp; Prospects", "type" : "report" }, "uris" : [ "http://www.mendeley.com/documents/?uuid=b2e8ebf3-732f-415c-94f8-e38ac28d43f6" ] } ], "mendeley" : { "formattedCitation" : "(MIFC, 2016)", "plainTextFormattedCitation" : "(MIFC, 2016)", "previouslyFormattedCitation" : "(MIFC, 2016)" }, "properties" : { "noteIndex" : 0 }, "schema" : "https://github.com/citation-style-language/schema/raw/master/csl-citation.json" }</w:instrText>
      </w:r>
      <w:r w:rsidRPr="006F131F">
        <w:rPr>
          <w:color w:val="000000" w:themeColor="text1"/>
        </w:rPr>
        <w:fldChar w:fldCharType="separate"/>
      </w:r>
      <w:r w:rsidRPr="006F131F">
        <w:rPr>
          <w:noProof/>
          <w:color w:val="000000" w:themeColor="text1"/>
        </w:rPr>
        <w:t>(MIFC, 2016)</w:t>
      </w:r>
      <w:r w:rsidRPr="006F131F">
        <w:rPr>
          <w:color w:val="000000" w:themeColor="text1"/>
        </w:rPr>
        <w:fldChar w:fldCharType="end"/>
      </w:r>
      <w:r w:rsidRPr="006F131F">
        <w:rPr>
          <w:color w:val="000000" w:themeColor="text1"/>
        </w:rPr>
        <w:t xml:space="preserve">. </w:t>
      </w:r>
      <w:r w:rsidRPr="006F131F">
        <w:t>The framework lists down the projects that are eligible to be categorised under SRI project</w:t>
      </w:r>
      <w:r>
        <w:t xml:space="preserve">s, which include </w:t>
      </w:r>
      <w:r w:rsidRPr="006F131F">
        <w:rPr>
          <w:rFonts w:eastAsiaTheme="majorEastAsia"/>
        </w:rPr>
        <w:t>any activities</w:t>
      </w:r>
      <w:r>
        <w:rPr>
          <w:rFonts w:eastAsiaTheme="majorEastAsia"/>
        </w:rPr>
        <w:t xml:space="preserve"> related to the development of waqf properties/assets. </w:t>
      </w:r>
      <w:r w:rsidRPr="006F131F">
        <w:rPr>
          <w:color w:val="000000"/>
        </w:rPr>
        <w:t>This i</w:t>
      </w:r>
      <w:r>
        <w:rPr>
          <w:color w:val="000000"/>
        </w:rPr>
        <w:t>nclusion is meaningful because w</w:t>
      </w:r>
      <w:r w:rsidRPr="006F131F">
        <w:rPr>
          <w:color w:val="000000"/>
        </w:rPr>
        <w:t>aqf asset development i</w:t>
      </w:r>
      <w:r>
        <w:rPr>
          <w:color w:val="000000"/>
        </w:rPr>
        <w:t xml:space="preserve">s a pressing issue in Malaysia. </w:t>
      </w:r>
      <w:r w:rsidRPr="006F131F">
        <w:rPr>
          <w:color w:val="000000" w:themeColor="text1"/>
        </w:rPr>
        <w:t xml:space="preserve">The 2012 statistics by </w:t>
      </w:r>
      <w:r w:rsidRPr="006F131F">
        <w:rPr>
          <w:iCs/>
        </w:rPr>
        <w:t>Jabatan Wakaf</w:t>
      </w:r>
      <w:r w:rsidRPr="006F131F">
        <w:t>, Zakat and Haji</w:t>
      </w:r>
      <w:r w:rsidRPr="006F131F">
        <w:rPr>
          <w:color w:val="000000" w:themeColor="text1"/>
        </w:rPr>
        <w:t xml:space="preserve"> (JAWHAR) showed that there were 11,092 hectares of </w:t>
      </w:r>
      <w:r>
        <w:rPr>
          <w:iCs/>
          <w:color w:val="000000" w:themeColor="text1"/>
          <w:bdr w:val="none" w:sz="0" w:space="0" w:color="auto" w:frame="1"/>
        </w:rPr>
        <w:t>w</w:t>
      </w:r>
      <w:r w:rsidRPr="006F131F">
        <w:rPr>
          <w:iCs/>
          <w:color w:val="000000" w:themeColor="text1"/>
          <w:bdr w:val="none" w:sz="0" w:space="0" w:color="auto" w:frame="1"/>
        </w:rPr>
        <w:t>aqf</w:t>
      </w:r>
      <w:r w:rsidRPr="006F131F">
        <w:rPr>
          <w:color w:val="000000" w:themeColor="text1"/>
        </w:rPr>
        <w:t> land wo</w:t>
      </w:r>
      <w:r>
        <w:rPr>
          <w:color w:val="000000" w:themeColor="text1"/>
        </w:rPr>
        <w:t xml:space="preserve">rth RM 1.18 billion in Malaysia. </w:t>
      </w:r>
      <w:r w:rsidRPr="006F131F">
        <w:rPr>
          <w:color w:val="000000" w:themeColor="text1"/>
        </w:rPr>
        <w:t xml:space="preserve">Unfortunately, only 7.2% of it was developed </w:t>
      </w:r>
      <w:r w:rsidRPr="006F131F">
        <w:rPr>
          <w:color w:val="000000" w:themeColor="text1"/>
        </w:rPr>
        <w:fldChar w:fldCharType="begin" w:fldLock="1"/>
      </w:r>
      <w:r w:rsidRPr="006F131F">
        <w:rPr>
          <w:color w:val="000000" w:themeColor="text1"/>
        </w:rPr>
        <w:instrText>ADDIN CSL_CITATION { "citationItems" : [ { "id" : "ITEM-1", "itemData" : { "abstract" : "Sejak beberapa tahun kebelakangan ini, dapat dilihat bahawa pemulihan institusi wakaf telah menjadi agenda dalam komuniti Muslim di seluruh dunia. Selari dengan usaha pemulihan ini, perhatian kepada keperluan perakaunan dan pelaporan wakaf telah muncul. Pengurusan wakaf yang baru dan moden juga telah meletakkan lebih penekanan kepada prinsip-prinsip akauntabiliti dan ketelusan. Perakaunan dan pelaporan dipercayai boleh meningkatkan akauntabiliti dan ketelusan pemegang amanah serta boleh dianggap sebagai sebahagian daripada urus tadbir yang baik. Kajian lepas juga turut menekankan bahawa amalan perakaunan dan pelaporan urusniaga yang menegakkan akauntabiliti nyata sukar didapati dan wujud kepelbagaian berkenaan dengan perakaunan dan pelaporan wakaf Sejajar dengan itu, objektif kajian ini adalah mengkaji kehendak maklumat yang diperlukan oleh pemegang kepentingan dalam usaha untuk membantu Institusi Wakaf dalam menyediakan maklumat yang diperlukan oleh pemegang kepentingan Di harapkan dengan mengetahui jenis-jenis maklumat yang diperlukan oleh pemegang kepentingan, ianya dapat meningkatkan keyakinan orang ramai untuk terus menyokong organisasi ini di samping membantu pihak-pihak tertentu menetapkan standard terhadap perakaunan dan pelaporan wakaf.", "author" : [ { "dropping-particle" : "", "family" : "Maznah", "given" : "Zakaria", "non-dropping-particle" : "", "parse-names" : false, "suffix" : "" }, { "dropping-particle" : "", "family" : "Mohamat Sabri", "given" : "Hassan", "non-dropping-particle" : "", "parse-names" : false, "suffix" : "" }, { "dropping-particle" : "", "family" : "Radziah", "given" : "Abdul Latiff", "non-dropping-particle" : "", "parse-names" : false, "suffix" : "" } ], "container-title" : "Persidangan Kebangsaan Ekonomi Malaysia ke-9", "id" : "ITEM-1", "issued" : { "date-parts" : [ [ "2014" ] ] }, "page" : "226-233", "title" : "Pelaporan Wakaf di Malaysia : Mengenalpasti Keperluan Maklumat Pemegang Kepentingan", "type" : "article-journal", "volume" : "9" }, "uris" : [ "http://www.mendeley.com/documents/?uuid=ea3edef5-2526-448f-b609-9fe1b25ef48e" ] } ], "mendeley" : { "formattedCitation" : "(Maznah, Mohamat Sabri, &amp; Radziah, 2014)", "manualFormatting" : "(Maznah, Mohamat Sabri &amp; Radziah, 2014)", "plainTextFormattedCitation" : "(Maznah, Mohamat Sabri, &amp; Radziah, 2014)", "previouslyFormattedCitation" : "(Maznah, Mohamat Sabri, &amp; Radziah, 2014)" }, "properties" : { "noteIndex" : 0 }, "schema" : "https://github.com/citation-style-language/schema/raw/master/csl-citation.json" }</w:instrText>
      </w:r>
      <w:r w:rsidRPr="006F131F">
        <w:rPr>
          <w:color w:val="000000" w:themeColor="text1"/>
        </w:rPr>
        <w:fldChar w:fldCharType="separate"/>
      </w:r>
      <w:r w:rsidRPr="006F131F">
        <w:rPr>
          <w:noProof/>
          <w:color w:val="000000" w:themeColor="text1"/>
        </w:rPr>
        <w:t>(Maznah, Mohamat Sabri &amp; Radziah, 2014)</w:t>
      </w:r>
      <w:r w:rsidRPr="006F131F">
        <w:rPr>
          <w:color w:val="000000" w:themeColor="text1"/>
        </w:rPr>
        <w:fldChar w:fldCharType="end"/>
      </w:r>
      <w:r w:rsidRPr="006F131F">
        <w:rPr>
          <w:color w:val="000000" w:themeColor="text1"/>
        </w:rPr>
        <w:t>. It is an irony that thousands of hectares of </w:t>
      </w:r>
      <w:r>
        <w:rPr>
          <w:iCs/>
          <w:color w:val="000000" w:themeColor="text1"/>
          <w:bdr w:val="none" w:sz="0" w:space="0" w:color="auto" w:frame="1"/>
        </w:rPr>
        <w:t>w</w:t>
      </w:r>
      <w:r w:rsidRPr="006F131F">
        <w:rPr>
          <w:iCs/>
          <w:color w:val="000000" w:themeColor="text1"/>
          <w:bdr w:val="none" w:sz="0" w:space="0" w:color="auto" w:frame="1"/>
        </w:rPr>
        <w:t>aqf</w:t>
      </w:r>
      <w:r w:rsidRPr="006F131F">
        <w:rPr>
          <w:color w:val="000000" w:themeColor="text1"/>
        </w:rPr>
        <w:t> land remain undeveloped when land and property are highly in demand in the current economy</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"Muhammad Hisyam", "given" : "Mohamad", "non-dropping-particle" : "", "parse-names" : false, "suffix" : "" } ], "container-title" : "The Star Online", "id" : "ITEM-1", "issued" : { "date-parts" : [ [ "2014" ] ] }, "title" : "Unleashing the Potential of Waqf", "type" : "webpage" }, "uris" : [ "http://www.mendeley.com/documents/?uuid=425d3d55-e21a-43bd-a689-0a26cbbc73fd" ] } ], "mendeley" : { "formattedCitation" : "(Muhammad Hisyam, 2014)", "plainTextFormattedCitation" : "(Muhammad Hisyam, 2014)", "previouslyFormattedCitation" : "(Muhammad Hisyam, 2014)" }, "properties" : { "noteIndex" : 0 }, "schema" : "https://github.com/citation-style-language/schema/raw/master/csl-citation.json" }</w:instrText>
      </w:r>
      <w:r>
        <w:rPr>
          <w:color w:val="000000" w:themeColor="text1"/>
        </w:rPr>
        <w:fldChar w:fldCharType="separate"/>
      </w:r>
      <w:r w:rsidRPr="00C84138">
        <w:rPr>
          <w:noProof/>
          <w:color w:val="000000" w:themeColor="text1"/>
        </w:rPr>
        <w:t>(Muhammad Hisyam, 2014)</w:t>
      </w:r>
      <w:r>
        <w:rPr>
          <w:color w:val="000000" w:themeColor="text1"/>
        </w:rPr>
        <w:fldChar w:fldCharType="end"/>
      </w:r>
      <w:r w:rsidRPr="006F131F">
        <w:rPr>
          <w:color w:val="000000" w:themeColor="text1"/>
        </w:rPr>
        <w:t xml:space="preserve">. </w:t>
      </w:r>
      <w:r>
        <w:rPr>
          <w:color w:val="000000" w:themeColor="text1"/>
        </w:rPr>
        <w:t xml:space="preserve">Meanwhile, data on other waqf asset classes could not be provided by </w:t>
      </w:r>
      <w:r w:rsidRPr="006F131F">
        <w:rPr>
          <w:color w:val="000000" w:themeColor="text1"/>
        </w:rPr>
        <w:t>JAWHAR</w:t>
      </w:r>
      <w:r>
        <w:rPr>
          <w:color w:val="000000" w:themeColor="text1"/>
        </w:rPr>
        <w:t>, but it is expected to have a huge value and are similarly underutilised.</w:t>
      </w:r>
    </w:p>
    <w:p w14:paraId="4E231BEC" w14:textId="16ECE895" w:rsidR="009642D3" w:rsidRDefault="00F86DB3" w:rsidP="00046B89">
      <w:pPr>
        <w:spacing w:line="240" w:lineRule="auto"/>
      </w:pPr>
      <w:r>
        <w:t>T</w:t>
      </w:r>
      <w:r w:rsidR="00F67777">
        <w:t>his paper</w:t>
      </w:r>
      <w:r w:rsidR="00952238">
        <w:t xml:space="preserve"> aim</w:t>
      </w:r>
      <w:r w:rsidR="00836223">
        <w:t>s</w:t>
      </w:r>
      <w:r w:rsidR="00952238">
        <w:t xml:space="preserve"> to </w:t>
      </w:r>
      <w:r w:rsidR="007D6599">
        <w:t xml:space="preserve">explore an </w:t>
      </w:r>
      <w:r w:rsidR="00065C38">
        <w:t>Musharakah</w:t>
      </w:r>
      <w:r w:rsidR="007D6599">
        <w:t xml:space="preserve"> SRI S</w:t>
      </w:r>
      <w:r>
        <w:t xml:space="preserve">ukuk model that could be implemented </w:t>
      </w:r>
      <w:r>
        <w:rPr>
          <w:rFonts w:eastAsiaTheme="majorEastAsia"/>
        </w:rPr>
        <w:t>to develop waqf properties and assets</w:t>
      </w:r>
      <w:r>
        <w:t xml:space="preserve"> under the SRI sukuk framework in Malaysia. The paper adopts desk research and semi-structured interview as its methodology. </w:t>
      </w:r>
      <w:r w:rsidR="00B64799">
        <w:t>The structure of this paper is as follows:</w:t>
      </w:r>
      <w:r w:rsidR="00836223">
        <w:t xml:space="preserve"> The following section</w:t>
      </w:r>
      <w:r w:rsidR="009E3981">
        <w:t xml:space="preserve"> reviews the</w:t>
      </w:r>
      <w:r w:rsidR="009E3981" w:rsidRPr="006F131F">
        <w:t xml:space="preserve"> </w:t>
      </w:r>
      <w:r w:rsidR="009E3981" w:rsidRPr="006F131F">
        <w:rPr>
          <w:rFonts w:asciiTheme="majorBidi" w:hAnsiTheme="majorBidi" w:cstheme="majorBidi"/>
        </w:rPr>
        <w:t xml:space="preserve">literature </w:t>
      </w:r>
      <w:r w:rsidR="009E3981">
        <w:rPr>
          <w:rFonts w:asciiTheme="majorBidi" w:hAnsiTheme="majorBidi" w:cstheme="majorBidi"/>
        </w:rPr>
        <w:t>on Islamic Finance, SRI, SRI sukuk and waqf. This</w:t>
      </w:r>
      <w:r w:rsidR="009E3981" w:rsidRPr="006F131F">
        <w:rPr>
          <w:rFonts w:asciiTheme="majorBidi" w:hAnsiTheme="majorBidi" w:cstheme="majorBidi"/>
        </w:rPr>
        <w:t xml:space="preserve"> include</w:t>
      </w:r>
      <w:r w:rsidR="009E3981">
        <w:rPr>
          <w:rFonts w:asciiTheme="majorBidi" w:hAnsiTheme="majorBidi" w:cstheme="majorBidi"/>
        </w:rPr>
        <w:t>s</w:t>
      </w:r>
      <w:r w:rsidR="009E3981" w:rsidRPr="006F131F">
        <w:t xml:space="preserve"> the framework that was introduced by Malaysia’s Securities Commission on the </w:t>
      </w:r>
      <w:r w:rsidR="009E3981">
        <w:t>SRI sukuk</w:t>
      </w:r>
      <w:r w:rsidR="009E3981" w:rsidRPr="006F131F">
        <w:t xml:space="preserve"> and the study of past literatures on the development of </w:t>
      </w:r>
      <w:r w:rsidR="009E3981">
        <w:t xml:space="preserve">waqf in Malaysia and </w:t>
      </w:r>
      <w:r w:rsidR="009E3981" w:rsidRPr="006F131F">
        <w:t xml:space="preserve">the modes of financing </w:t>
      </w:r>
      <w:r w:rsidR="003C2A19">
        <w:t xml:space="preserve">for waqf development </w:t>
      </w:r>
      <w:r w:rsidR="009E3981" w:rsidRPr="006F131F">
        <w:t>that have been done in the past.</w:t>
      </w:r>
      <w:r w:rsidR="009E3981">
        <w:t xml:space="preserve"> </w:t>
      </w:r>
      <w:r w:rsidR="003C2A19">
        <w:t xml:space="preserve">A </w:t>
      </w:r>
      <w:r w:rsidR="00B64799">
        <w:t>section</w:t>
      </w:r>
      <w:r w:rsidR="007D6599">
        <w:t xml:space="preserve"> on methodology </w:t>
      </w:r>
      <w:r w:rsidR="003C2A19">
        <w:t xml:space="preserve">follows suit </w:t>
      </w:r>
      <w:r w:rsidR="007D6599">
        <w:t>as well as a section</w:t>
      </w:r>
      <w:r w:rsidR="00B64799">
        <w:t xml:space="preserve"> that explains </w:t>
      </w:r>
      <w:r w:rsidR="009E3981">
        <w:t xml:space="preserve">the proposed </w:t>
      </w:r>
      <w:r w:rsidR="00065C38">
        <w:t>Musharakah</w:t>
      </w:r>
      <w:r w:rsidR="009E3981">
        <w:t xml:space="preserve"> SRI Sukuk model that could be implemented in the Malaysian context for the development of waqf properties/assets. </w:t>
      </w:r>
      <w:r w:rsidR="00B64799">
        <w:t xml:space="preserve">Finally, several suggestions </w:t>
      </w:r>
      <w:r w:rsidR="002C2715">
        <w:t xml:space="preserve">and a conclusion </w:t>
      </w:r>
      <w:r w:rsidR="00B64799">
        <w:t xml:space="preserve">will be provided. </w:t>
      </w:r>
    </w:p>
    <w:p w14:paraId="33F3078C" w14:textId="77777777" w:rsidR="009642D3" w:rsidRDefault="009642D3" w:rsidP="00046B89">
      <w:pPr>
        <w:spacing w:line="240" w:lineRule="auto"/>
      </w:pPr>
    </w:p>
    <w:p w14:paraId="5C306E86" w14:textId="77777777" w:rsidR="003A570C" w:rsidRDefault="003A570C">
      <w:pPr>
        <w:spacing w:after="160"/>
        <w:jc w:val="left"/>
        <w:rPr>
          <w:rFonts w:eastAsiaTheme="majorEastAsia"/>
          <w:b/>
          <w:color w:val="000000" w:themeColor="text1"/>
          <w:spacing w:val="-10"/>
          <w:kern w:val="28"/>
        </w:rPr>
      </w:pPr>
      <w:r>
        <w:br w:type="page"/>
      </w:r>
    </w:p>
    <w:p w14:paraId="30E59283" w14:textId="2D1A11FA" w:rsidR="00287566" w:rsidRPr="002E4784" w:rsidRDefault="00B20F6D" w:rsidP="00046B89">
      <w:pPr>
        <w:pStyle w:val="Heading1"/>
      </w:pPr>
      <w:r>
        <w:lastRenderedPageBreak/>
        <w:t>Literature Review</w:t>
      </w:r>
    </w:p>
    <w:p w14:paraId="30E592A9" w14:textId="2487644E" w:rsidR="00287566" w:rsidRPr="002E4784" w:rsidRDefault="00B20F6D" w:rsidP="00046B89">
      <w:pPr>
        <w:pStyle w:val="Heading2"/>
      </w:pPr>
      <w:r>
        <w:t xml:space="preserve">Islamic Finance </w:t>
      </w:r>
    </w:p>
    <w:p w14:paraId="3A48AFBE" w14:textId="2BA30F8F" w:rsidR="00B20F6D" w:rsidRPr="006F131F" w:rsidRDefault="00B20F6D" w:rsidP="00046B89">
      <w:pPr>
        <w:spacing w:line="240" w:lineRule="auto"/>
      </w:pPr>
      <w:r w:rsidRPr="006F131F">
        <w:t xml:space="preserve">Today, Islamic finance has become an important segment in the international financial system, with estimated assets close to approximately USD2 trillion and compound annual growth rate (CAGR) of 15.4% </w:t>
      </w:r>
      <w:r w:rsidRPr="006F131F">
        <w:fldChar w:fldCharType="begin" w:fldLock="1"/>
      </w:r>
      <w:r w:rsidRPr="006F131F">
        <w:instrText>ADDIN CSL_CITATION { "citationItems" : [ { "id" : "ITEM-1", "itemData" : { "DOI" : "10.1017/CBO9781107415324.004", "ISBN" : "9788578110796", "ISSN" : "1098-6596", "PMID" : "25246403", "author" : [ { "dropping-particle" : "", "family" : "IFSB", "given" : "", "non-dropping-particle" : "", "parse-names" : false, "suffix" : "" } ], "container-title" : "Bank Negara Malaysia", "id" : "ITEM-1", "issued" : { "date-parts" : [ [ "2016" ] ] }, "number-of-pages" : "163", "title" : "Islamic Financial Services Board Stability Report 2016", "type" : "report", "volume" : "1" }, "uris" : [ "http://www.mendeley.com/documents/?uuid=0b938474-0b59-4f0f-b393-234144194e47" ] } ], "mendeley" : { "formattedCitation" : "(IFSB, 2016)", "plainTextFormattedCitation" : "(IFSB, 2016)", "previouslyFormattedCitation" : "(IFSB, 2016)" }, "properties" : { "noteIndex" : 0 }, "schema" : "https://github.com/citation-style-language/schema/raw/master/csl-citation.json" }</w:instrText>
      </w:r>
      <w:r w:rsidRPr="006F131F">
        <w:fldChar w:fldCharType="separate"/>
      </w:r>
      <w:r w:rsidRPr="006F131F">
        <w:rPr>
          <w:noProof/>
        </w:rPr>
        <w:t>(IFSB, 2016)</w:t>
      </w:r>
      <w:r w:rsidRPr="006F131F">
        <w:fldChar w:fldCharType="end"/>
      </w:r>
      <w:r w:rsidRPr="006F131F">
        <w:t xml:space="preserve">. </w:t>
      </w:r>
      <w:r w:rsidRPr="006F131F">
        <w:rPr>
          <w:rFonts w:eastAsia="Times New Roman"/>
        </w:rPr>
        <w:t xml:space="preserve">Despite the encouraging growth, </w:t>
      </w:r>
      <w:r w:rsidRPr="006F131F">
        <w:t xml:space="preserve">it is argued that the true objectives of Islamic finance practice are yet to be realised. For example, Islamic financial institutions are found mostly to be profit oriented over social oriented </w:t>
      </w:r>
      <w:r w:rsidRPr="006F131F">
        <w:fldChar w:fldCharType="begin"/>
      </w:r>
      <w:r w:rsidRPr="006F131F">
        <w:instrText xml:space="preserve"> ADDIN EN.CITE &lt;EndNote&gt;&lt;Cite&gt;&lt;Author&gt;Mohammad&lt;/Author&gt;&lt;Year&gt;2013&lt;/Year&gt;&lt;RecNum&gt;54&lt;/RecNum&gt;&lt;DisplayText&gt;(Mohammad &amp;amp; Shahwan, 2013)&lt;/DisplayText&gt;&lt;record&gt;&lt;rec-number&gt;54&lt;/rec-number&gt;&lt;foreign-keys&gt;&lt;key app="EN" db-id="s0sspezxpswprxedwfqp9fae9fszzs2dxzta" timestamp="1399621418"&gt;54&lt;/key&gt;&lt;/foreign-keys&gt;&lt;ref-type name="Journal Article"&gt;17&lt;/ref-type&gt;&lt;contributors&gt;&lt;authors&gt;&lt;author&gt;Mustafa Omar Mohammad&lt;/author&gt;&lt;author&gt;Syahidawati Shahwan&lt;/author&gt;&lt;/authors&gt;&lt;/contributors&gt;&lt;titles&gt;&lt;title&gt;The Objective of Islamic Economic and Islamic Banking in Light of Maqasid Al-Shariah: A Critical Review&lt;/title&gt;&lt;secondary-title&gt;Middle-East Journal of Scientific Research&lt;/secondary-title&gt;&lt;/titles&gt;&lt;periodical&gt;&lt;full-title&gt;Middle-East Journal of Scientific Research&lt;/full-title&gt;&lt;/periodical&gt;&lt;pages&gt;75-84&lt;/pages&gt;&lt;volume&gt;13 (Research in Contemporary Islamic Finance and Wealth Management)&lt;/volume&gt;&lt;section&gt;75&lt;/section&gt;&lt;dates&gt;&lt;year&gt;2013&lt;/year&gt;&lt;/dates&gt;&lt;isbn&gt;1990-9233&lt;/isbn&gt;&lt;urls&gt;&lt;/urls&gt;&lt;electronic-resource-num&gt;10.5829/idosi.mejsr.2013.13.1885&lt;/electronic-resource-num&gt;&lt;/record&gt;&lt;/Cite&gt;&lt;/EndNote&gt;</w:instrText>
      </w:r>
      <w:r w:rsidRPr="006F131F">
        <w:fldChar w:fldCharType="separate"/>
      </w:r>
      <w:r w:rsidRPr="006F131F">
        <w:rPr>
          <w:noProof/>
        </w:rPr>
        <w:t>(Mohammad &amp; Shahwan, 2013)</w:t>
      </w:r>
      <w:r w:rsidRPr="006F131F">
        <w:fldChar w:fldCharType="end"/>
      </w:r>
      <w:r w:rsidRPr="006F131F">
        <w:t xml:space="preserve">. </w:t>
      </w:r>
      <w:r w:rsidRPr="006F131F">
        <w:rPr>
          <w:rFonts w:eastAsia="Times New Roman"/>
        </w:rPr>
        <w:t>Hence, t</w:t>
      </w:r>
      <w:r w:rsidRPr="006F131F">
        <w:t xml:space="preserve">here has been calls for these institutions to give more effort towards bridging the gap of Islamic finance theory and practice by putting more emphasis on social responsibility and impact </w:t>
      </w:r>
      <w:r w:rsidRPr="006F131F">
        <w:fldChar w:fldCharType="begin"/>
      </w:r>
      <w:r w:rsidRPr="006F131F">
        <w:instrText xml:space="preserve"> ADDIN EN.CITE &lt;EndNote&gt;&lt;Cite&gt;&lt;Author&gt;Ng&lt;/Author&gt;&lt;Year&gt;2015&lt;/Year&gt;&lt;RecNum&gt;307&lt;/RecNum&gt;&lt;DisplayText&gt;(Ng et al., 2015)&lt;/DisplayText&gt;&lt;record&gt;&lt;rec-number&gt;307&lt;/rec-number&gt;&lt;foreign-keys&gt;&lt;key app="EN" db-id="s0sspezxpswprxedwfqp9fae9fszzs2dxzta" timestamp="1441179273"&gt;307&lt;/key&gt;&lt;/foreign-keys&gt;&lt;ref-type name="Book Section"&gt;5&lt;/ref-type&gt;&lt;contributors&gt;&lt;authors&gt;&lt;author&gt;Adam Ng&lt;/author&gt;&lt;author&gt;Abbas Mirakhor&lt;/author&gt;&lt;author&gt;Mansor H. Ibrahim&lt;/author&gt;&lt;/authors&gt;&lt;/contributors&gt;&lt;titles&gt;&lt;title&gt;Risk Sharing and Social Impact Partnerships&lt;/title&gt;&lt;secondary-title&gt;Social Capital and Risk Sharing: An Islamic Finance Paradigm&lt;/secondary-title&gt;&lt;/titles&gt;&lt;keywords&gt;&lt;keyword&gt;SIB&lt;/keyword&gt;&lt;keyword&gt;Waqf&lt;/keyword&gt;&lt;keyword&gt;Risk Sharing&lt;/keyword&gt;&lt;keyword&gt;Islamic Finance&lt;/keyword&gt;&lt;/keywords&gt;&lt;dates&gt;&lt;year&gt;2015&lt;/year&gt;&lt;/dates&gt;&lt;publisher&gt;Palgrave Macmillan&lt;/publisher&gt;&lt;isbn&gt;9781137476043&lt;/isbn&gt;&lt;urls&gt;&lt;/urls&gt;&lt;/record&gt;&lt;/Cite&gt;&lt;/EndNote&gt;</w:instrText>
      </w:r>
      <w:r w:rsidRPr="006F131F">
        <w:fldChar w:fldCharType="separate"/>
      </w:r>
      <w:r w:rsidRPr="006F131F">
        <w:rPr>
          <w:noProof/>
        </w:rPr>
        <w:t>(Ng et al., 2015)</w:t>
      </w:r>
      <w:r w:rsidRPr="006F131F">
        <w:fldChar w:fldCharType="end"/>
      </w:r>
      <w:r w:rsidRPr="006F131F">
        <w:t>. In September 2012, Kuala Lumpur Declaration was adopted by participants in the Second Strategic Roundtable Discussion which included S</w:t>
      </w:r>
      <w:r w:rsidRPr="006F131F">
        <w:rPr>
          <w:iCs/>
        </w:rPr>
        <w:t>hari’ah</w:t>
      </w:r>
      <w:r w:rsidRPr="006F131F">
        <w:rPr>
          <w:i/>
          <w:iCs/>
        </w:rPr>
        <w:t xml:space="preserve"> </w:t>
      </w:r>
      <w:r w:rsidRPr="006F131F">
        <w:t xml:space="preserve">scholars and Muslim economists. One of the declaration’s critical recommendation is to broaden the organisational structures beyond traditional banking models to formats such as </w:t>
      </w:r>
      <w:r>
        <w:rPr>
          <w:iCs/>
        </w:rPr>
        <w:t>w</w:t>
      </w:r>
      <w:r w:rsidRPr="006F131F">
        <w:rPr>
          <w:iCs/>
        </w:rPr>
        <w:t>aqf</w:t>
      </w:r>
      <w:r w:rsidRPr="006F131F">
        <w:rPr>
          <w:i/>
          <w:iCs/>
        </w:rPr>
        <w:t xml:space="preserve"> </w:t>
      </w:r>
      <w:r w:rsidRPr="006F131F">
        <w:t xml:space="preserve">to meet the social goals and risk sharing features of Islamic finance </w:t>
      </w:r>
      <w:r w:rsidRPr="006F131F">
        <w:fldChar w:fldCharType="begin" w:fldLock="1"/>
      </w:r>
      <w:r w:rsidRPr="006F131F">
        <w:instrText>ADDIN CSL_CITATION { "citationItems" : [ { "id" : "ITEM-1", "itemData" : { "author" : [ { "dropping-particle" : "", "family" : "ISRA", "given" : "", "non-dropping-particle" : "", "parse-names" : false, "suffix" : "" } ], "container-title" : "The Second Strategic Roundtable Discussion ISRA-IRTI-DURHAM University", "id" : "ITEM-1", "issue" : "September", "issued" : { "date-parts" : [ [ "2012" ] ] }, "page" : "1-3", "title" : "Kuala Lumpur Declaration", "type" : "article-journal" }, "uris" : [ "http://www.mendeley.com/documents/?uuid=6558f086-577c-4285-8994-cd6d869b52ee" ] } ], "mendeley" : { "formattedCitation" : "(ISRA, 2012)", "plainTextFormattedCitation" : "(ISRA, 2012)", "previouslyFormattedCitation" : "(ISRA, 2012)" }, "properties" : { "noteIndex" : 0 }, "schema" : "https://github.com/citation-style-language/schema/raw/master/csl-citation.json" }</w:instrText>
      </w:r>
      <w:r w:rsidRPr="006F131F">
        <w:fldChar w:fldCharType="separate"/>
      </w:r>
      <w:r w:rsidRPr="006F131F">
        <w:rPr>
          <w:noProof/>
        </w:rPr>
        <w:t>(ISRA, 2012)</w:t>
      </w:r>
      <w:r w:rsidRPr="006F131F">
        <w:fldChar w:fldCharType="end"/>
      </w:r>
      <w:r>
        <w:t>. Waqf,</w:t>
      </w:r>
      <w:r w:rsidRPr="006F131F">
        <w:t xml:space="preserve"> which </w:t>
      </w:r>
      <w:r>
        <w:t>is</w:t>
      </w:r>
      <w:r w:rsidRPr="006F131F">
        <w:t xml:space="preserve"> part of </w:t>
      </w:r>
      <w:r>
        <w:t xml:space="preserve">the </w:t>
      </w:r>
      <w:r w:rsidRPr="006F131F">
        <w:t>social sector</w:t>
      </w:r>
      <w:r>
        <w:t>, is</w:t>
      </w:r>
      <w:r w:rsidRPr="006F131F">
        <w:t xml:space="preserve"> rarely given the attention for further development even though</w:t>
      </w:r>
      <w:r>
        <w:t xml:space="preserve"> it</w:t>
      </w:r>
      <w:r w:rsidRPr="006F131F">
        <w:t xml:space="preserve"> can actually bring remarkable benefits to the social welfare and justice, which is in line with the objective of Shari’ah </w:t>
      </w:r>
      <w:r w:rsidRPr="006F131F">
        <w:fldChar w:fldCharType="begin" w:fldLock="1"/>
      </w:r>
      <w:r w:rsidRPr="006F131F">
        <w:instrText>ADDIN CSL_CITATION { "citationItems" : [ { "id" : "ITEM-1", "itemData" : { "author" : [ { "dropping-particle" : "", "family" : "Ismal", "given" : "Rifki Ismal Rifki", "non-dropping-particle" : "", "parse-names" : false, "suffix" : "" }, { "dropping-particle" : "", "family" : "Muljawan", "given" : "Dadang", "non-dropping-particle" : "", "parse-names" : false, "suffix" : "" }, { "dropping-particle" : "", "family" : "Chalid", "given" : "Mega Ramadhanty", "non-dropping-particle" : "", "parse-names" : false, "suffix" : "" }, { "dropping-particle" : "", "family" : "Muljawan", "given" : "Dadang", "non-dropping-particle" : "", "parse-names" : false, "suffix" : "" }, { "dropping-particle" : "", "family" : "Chalid", "given" : "Mega Ramadhanty", "non-dropping-particle" : "", "parse-names" : false, "suffix" : "" }, { "dropping-particle" : "", "family" : "Sastrosuwito", "given" : "Jhordy Kashoogie Suminto", "non-dropping-particle" : "", "parse-names" : false, "suffix" : "" }, { "dropping-particle" : "", "family" : "Sastrosuwito", "given" : "Jhordy Kashoogie Suminto", "non-dropping-particle" : "", "parse-names" : false, "suffix" : "" } ], "id" : "ITEM-1", "issued" : { "date-parts" : [ [ "2015" ] ] }, "title" : "Occasional Paper Awqaf Linked Sukuk To Support the Economic Development Awqaf Linked Sukuk To Support the Economic Development", "type" : "report" }, "uris" : [ "http://www.mendeley.com/documents/?uuid=c01170b6-812b-4785-8205-a6294db845d5" ] } ], "mendeley" : { "formattedCitation" : "(Ismal et al., 2015)", "plainTextFormattedCitation" : "(Ismal et al., 2015)", "previouslyFormattedCitation" : "(Ismal et al., 2015)" }, "properties" : { "noteIndex" : 0 }, "schema" : "https://github.com/citation-style-language/schema/raw/master/csl-citation.json" }</w:instrText>
      </w:r>
      <w:r w:rsidRPr="006F131F">
        <w:fldChar w:fldCharType="separate"/>
      </w:r>
      <w:r w:rsidRPr="006F131F">
        <w:rPr>
          <w:noProof/>
        </w:rPr>
        <w:t>(Ismal et al., 2015)</w:t>
      </w:r>
      <w:r w:rsidRPr="006F131F">
        <w:fldChar w:fldCharType="end"/>
      </w:r>
      <w:r w:rsidRPr="006F131F">
        <w:t>.</w:t>
      </w:r>
    </w:p>
    <w:p w14:paraId="1A2DCF1D" w14:textId="2E722B3B" w:rsidR="00B20F6D" w:rsidRDefault="00B20F6D" w:rsidP="00046B89">
      <w:pPr>
        <w:widowControl w:val="0"/>
        <w:autoSpaceDE w:val="0"/>
        <w:autoSpaceDN w:val="0"/>
        <w:adjustRightInd w:val="0"/>
        <w:spacing w:line="240" w:lineRule="auto"/>
      </w:pPr>
      <w:r w:rsidRPr="006F131F">
        <w:t xml:space="preserve">Therefore, it is high time for Islamic financial institutions to bridge the gap between Islamic finance theory and practice by developing and utilising tools that embody principles of Islamic finance such as </w:t>
      </w:r>
      <w:r>
        <w:t>SRI sukuk for the development of w</w:t>
      </w:r>
      <w:r w:rsidRPr="006F131F">
        <w:t xml:space="preserve">aqf properties and assets. To </w:t>
      </w:r>
      <w:r>
        <w:t>the best knowledge of the researcher,</w:t>
      </w:r>
      <w:r w:rsidRPr="006F131F">
        <w:t xml:space="preserve"> there has not been any research done in the area of </w:t>
      </w:r>
      <w:r>
        <w:t>SRI sukuk for the development of w</w:t>
      </w:r>
      <w:r w:rsidRPr="006F131F">
        <w:t>aqf properties and assets in Malaysia.</w:t>
      </w:r>
    </w:p>
    <w:p w14:paraId="1E27A025" w14:textId="77777777" w:rsidR="00B20F6D" w:rsidRPr="00F9581D" w:rsidRDefault="00B20F6D" w:rsidP="00046B89">
      <w:pPr>
        <w:pStyle w:val="Heading2"/>
      </w:pPr>
      <w:bookmarkStart w:id="9" w:name="_Toc491649673"/>
      <w:r w:rsidRPr="00F9581D">
        <w:t>Sustainable and Responsible Investment (SRI)</w:t>
      </w:r>
      <w:bookmarkEnd w:id="9"/>
    </w:p>
    <w:p w14:paraId="756D6D3B" w14:textId="77777777" w:rsidR="00B20F6D" w:rsidRDefault="00B20F6D" w:rsidP="00046B89">
      <w:pPr>
        <w:widowControl w:val="0"/>
        <w:autoSpaceDE w:val="0"/>
        <w:autoSpaceDN w:val="0"/>
        <w:adjustRightInd w:val="0"/>
        <w:spacing w:line="240" w:lineRule="auto"/>
        <w:rPr>
          <w:color w:val="000000" w:themeColor="text1"/>
        </w:rPr>
      </w:pPr>
      <w:bookmarkStart w:id="10" w:name="_Toc477155999"/>
      <w:r w:rsidRPr="006F131F">
        <w:rPr>
          <w:color w:val="000000" w:themeColor="text1"/>
        </w:rPr>
        <w:t>SRI has been referred to as Socially Responsible Investment</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"Ministry of Finance Malaysia", "given" : "", "non-dropping-particle" : "", "parse-names" : false, "suffix" : "" } ], "id" : "ITEM-1", "issued" : { "date-parts" : [ [ "2013" ] ] }, "title" : "The 2014 Budget", "type" : "report" }, "uris" : [ "http://www.mendeley.com/documents/?uuid=c94089ab-09ad-4dfa-8fad-677e6cf67d5f" ] } ], "mendeley" : { "formattedCitation" : "(Ministry of Finance Malaysia, 2013)", "plainTextFormattedCitation" : "(Ministry of Finance Malaysia, 2013)", "previouslyFormattedCitation" : "(Ministry of Finance Malaysia, 2013)" }, "properties" : { "noteIndex" : 0 }, "schema" : "https://github.com/citation-style-language/schema/raw/master/csl-citation.json" }</w:instrText>
      </w:r>
      <w:r>
        <w:rPr>
          <w:color w:val="000000" w:themeColor="text1"/>
        </w:rPr>
        <w:fldChar w:fldCharType="separate"/>
      </w:r>
      <w:r w:rsidRPr="0066544C">
        <w:rPr>
          <w:noProof/>
          <w:color w:val="000000" w:themeColor="text1"/>
        </w:rPr>
        <w:t>(Ministry of Finance Malaysia, 2013)</w:t>
      </w:r>
      <w:r>
        <w:rPr>
          <w:color w:val="000000" w:themeColor="text1"/>
        </w:rPr>
        <w:fldChar w:fldCharType="end"/>
      </w:r>
      <w:r w:rsidRPr="006F131F">
        <w:rPr>
          <w:color w:val="000000" w:themeColor="text1"/>
        </w:rPr>
        <w:t xml:space="preserve">, Sustainable and Responsible Investment </w:t>
      </w:r>
      <w:r w:rsidRPr="006F131F">
        <w:rPr>
          <w:color w:val="000000" w:themeColor="text1"/>
        </w:rPr>
        <w:fldChar w:fldCharType="begin"/>
      </w:r>
      <w:r w:rsidRPr="006F131F">
        <w:rPr>
          <w:color w:val="000000" w:themeColor="text1"/>
        </w:rPr>
        <w:instrText xml:space="preserve"> ADDIN EN.CITE &lt;EndNote&gt;&lt;Cite&gt;&lt;Author&gt;Securities Commission Malaysia&lt;/Author&gt;&lt;Year&gt;2014&lt;/Year&gt;&lt;RecNum&gt;295&lt;/RecNum&gt;&lt;DisplayText&gt;(Securities Commission Malaysia, 2014)&lt;/DisplayText&gt;&lt;record&gt;&lt;rec-number&gt;295&lt;/rec-number&gt;&lt;foreign-keys&gt;&lt;key app="EN" db-id="s0sspezxpswprxedwfqp9fae9fszzs2dxzta" timestamp="1433743187"&gt;295&lt;/key&gt;&lt;/foreign-keys&gt;&lt;ref-type name="Press Release"&gt;63&lt;/ref-type&gt;&lt;contributors&gt;&lt;authors&gt;&lt;author&gt;Securities Commission Malaysia,&lt;/author&gt;&lt;/authors&gt;&lt;/contributors&gt;&lt;titles&gt;&lt;title&gt;SC Introduces Sustainable and Responsible Investment Sukuk framework&lt;/title&gt;&lt;/titles&gt;&lt;keywords&gt;&lt;keyword&gt;SRI&lt;/keyword&gt;&lt;keyword&gt;Malaysia&lt;/keyword&gt;&lt;keyword&gt;SIB&lt;/keyword&gt;&lt;/keywords&gt;&lt;dates&gt;&lt;year&gt;2014&lt;/year&gt;&lt;/dates&gt;&lt;pub-location&gt;Malaysia&lt;/pub-location&gt;&lt;urls&gt;&lt;related-urls&gt;&lt;url&gt;http://www.sc.com.my/post_archive/sc-introduces-sustainable-and-responsible-investment-sukuk-framework/&lt;/url&gt;&lt;/related-urls&gt;&lt;/urls&gt;&lt;/record&gt;&lt;/Cite&gt;&lt;/EndNote&gt;</w:instrText>
      </w:r>
      <w:r w:rsidRPr="006F131F">
        <w:rPr>
          <w:color w:val="000000" w:themeColor="text1"/>
        </w:rPr>
        <w:fldChar w:fldCharType="separate"/>
      </w:r>
      <w:r w:rsidRPr="006F131F">
        <w:rPr>
          <w:noProof/>
          <w:color w:val="000000" w:themeColor="text1"/>
        </w:rPr>
        <w:t>(Securities Commission, 2014)</w:t>
      </w:r>
      <w:r w:rsidRPr="006F131F">
        <w:rPr>
          <w:color w:val="000000" w:themeColor="text1"/>
        </w:rPr>
        <w:fldChar w:fldCharType="end"/>
      </w:r>
      <w:r w:rsidRPr="006F131F">
        <w:rPr>
          <w:color w:val="000000" w:themeColor="text1"/>
        </w:rPr>
        <w:t xml:space="preserve">, and Sustainable, Responsible, and Impactful investments </w:t>
      </w:r>
      <w:r w:rsidRPr="006F131F">
        <w:rPr>
          <w:color w:val="000000" w:themeColor="text1"/>
        </w:rPr>
        <w:fldChar w:fldCharType="begin"/>
      </w:r>
      <w:r w:rsidRPr="006F131F">
        <w:rPr>
          <w:color w:val="000000" w:themeColor="text1"/>
        </w:rPr>
        <w:instrText xml:space="preserve"> ADDIN EN.CITE &lt;EndNote&gt;&lt;Cite&gt;&lt;Author&gt;Centre for Islamic Wealth Management&lt;/Author&gt;&lt;Year&gt;2015&lt;/Year&gt;&lt;RecNum&gt;347&lt;/RecNum&gt;&lt;DisplayText&gt;(Centre for Islamic Wealth Management, 2015)&lt;/DisplayText&gt;&lt;record&gt;&lt;rec-number&gt;347&lt;/rec-number&gt;&lt;foreign-keys&gt;&lt;key app="EN" db-id="s0sspezxpswprxedwfqp9fae9fszzs2dxzta" timestamp="1448350325"&gt;347&lt;/key&gt;&lt;/foreign-keys&gt;&lt;ref-type name="Report"&gt;27&lt;/ref-type&gt;&lt;contributors&gt;&lt;authors&gt;&lt;author&gt;Centre for Islamic Wealth Management,&lt;/author&gt;&lt;/authors&gt;&lt;secondary-authors&gt;&lt;author&gt;Centre for Islamic Wealth Management,&lt;/author&gt;&lt;/secondary-authors&gt;&lt;/contributors&gt;&lt;titles&gt;&lt;title&gt;Special Edition 2013-2015 Bulletin&lt;/title&gt;&lt;/titles&gt;&lt;dates&gt;&lt;year&gt;2015&lt;/year&gt;&lt;/dates&gt;&lt;pub-location&gt;Lorong University A, Kuala Lumpur Malaysia&lt;/pub-location&gt;&lt;publisher&gt;INCEIF and BNP Paribas&lt;/publisher&gt;&lt;urls&gt;&lt;/urls&gt;&lt;/record&gt;&lt;/Cite&gt;&lt;/EndNote&gt;</w:instrText>
      </w:r>
      <w:r w:rsidRPr="006F131F">
        <w:rPr>
          <w:color w:val="000000" w:themeColor="text1"/>
        </w:rPr>
        <w:fldChar w:fldCharType="separate"/>
      </w:r>
      <w:r w:rsidRPr="006F131F">
        <w:rPr>
          <w:noProof/>
          <w:color w:val="000000" w:themeColor="text1"/>
        </w:rPr>
        <w:t>(Centre for Islamic Wealth Management, 2015)</w:t>
      </w:r>
      <w:r w:rsidRPr="006F131F">
        <w:rPr>
          <w:color w:val="000000" w:themeColor="text1"/>
        </w:rPr>
        <w:fldChar w:fldCharType="end"/>
      </w:r>
      <w:r w:rsidRPr="006F131F">
        <w:rPr>
          <w:color w:val="000000" w:themeColor="text1"/>
        </w:rPr>
        <w:t xml:space="preserve">. According to the US Social Investment Forum (2016), SRI is integrating personal values and societal concerns into investment decisions, where investors consider both their financial needs and the impact of their investment on society. Generally, it can be referred to as any type of investment process which combines investors’ financial objectives with concerns regarding environmental, societal and governance issues </w:t>
      </w:r>
      <w:r w:rsidRPr="006F131F">
        <w:rPr>
          <w:color w:val="000000" w:themeColor="text1"/>
        </w:rPr>
        <w:fldChar w:fldCharType="begin" w:fldLock="1"/>
      </w:r>
      <w:r w:rsidRPr="006F131F">
        <w:rPr>
          <w:color w:val="000000" w:themeColor="text1"/>
        </w:rPr>
        <w:instrText>ADDIN CSL_CITATION { "citationItems" : [ { "id" : "ITEM-1", "itemData" : { "author" : [ { "dropping-particle" : "", "family" : "Moghul", "given" : "Umar F", "non-dropping-particle" : "", "parse-names" : false, "suffix" : "" }, { "dropping-particle" : "", "family" : "Safar-Aly", "given" : "Samir", "non-dropping-particle" : "", "parse-names" : false, "suffix" : "" } ], "id" : "ITEM-1", "issued" : { "date-parts" : [ [ "2015" ] ] }, "title" : "Green Sukuk: The Introduction of Islam\u2019s Environmental Ethics to Contemporary Islamic Finance", "type" : "article-journal" }, "uris" : [ "http://www.mendeley.com/documents/?uuid=cdcf3cab-6a68-423c-ad2d-eed495e3078b" ] } ], "mendeley" : { "formattedCitation" : "(Moghul &amp; Safar-Aly, 2015)", "plainTextFormattedCitation" : "(Moghul &amp; Safar-Aly, 2015)", "previouslyFormattedCitation" : "(Moghul &amp; Safar-Aly, 2015)" }, "properties" : { "noteIndex" : 0 }, "schema" : "https://github.com/citation-style-language/schema/raw/master/csl-citation.json" }</w:instrText>
      </w:r>
      <w:r w:rsidRPr="006F131F">
        <w:rPr>
          <w:color w:val="000000" w:themeColor="text1"/>
        </w:rPr>
        <w:fldChar w:fldCharType="separate"/>
      </w:r>
      <w:r w:rsidRPr="006F131F">
        <w:rPr>
          <w:noProof/>
          <w:color w:val="000000" w:themeColor="text1"/>
        </w:rPr>
        <w:t>(Moghul &amp; Safar-Aly, 2015)</w:t>
      </w:r>
      <w:r w:rsidRPr="006F131F">
        <w:rPr>
          <w:color w:val="000000" w:themeColor="text1"/>
        </w:rPr>
        <w:fldChar w:fldCharType="end"/>
      </w:r>
      <w:r w:rsidRPr="006F131F">
        <w:rPr>
          <w:color w:val="000000" w:themeColor="text1"/>
        </w:rPr>
        <w:t>.</w:t>
      </w:r>
    </w:p>
    <w:p w14:paraId="7D8A842B" w14:textId="7D8AE2AA" w:rsidR="00B20F6D" w:rsidRDefault="00B20F6D" w:rsidP="00046B89">
      <w:pPr>
        <w:pStyle w:val="NormalWeb"/>
        <w:shd w:val="clear" w:color="auto" w:fill="FFFFFF"/>
        <w:spacing w:before="0" w:beforeAutospacing="0" w:after="0" w:afterAutospacing="0"/>
        <w:ind w:firstLine="0"/>
      </w:pPr>
      <w:r w:rsidRPr="006F131F">
        <w:t>There are many strategies within the SRI industry. SRI Connect has listed out 21 strategies which include ethical negative screening (which incorporates Shari’ah screening), positive screening, community investing, impact investing, sustainability theme investing and ESG investing</w:t>
      </w:r>
      <w:r>
        <w:t xml:space="preserve"> </w:t>
      </w:r>
      <w:r>
        <w:fldChar w:fldCharType="begin" w:fldLock="1"/>
      </w:r>
      <w:r>
        <w:instrText>ADDIN CSL_CITATION { "citationItems" : [ { "id" : "ITEM-1", "itemData" : { "URL" : "https://www.sri-connect.com/index.php?option=com_content&amp;view=article&amp;id=2&amp;Itemid=81", "author" : [ { "dropping-particle" : "", "family" : "SRI Connect", "given" : "", "non-dropping-particle" : "", "parse-names" : false, "suffix" : "" } ], "id" : "ITEM-1", "issued" : { "date-parts" : [ [ "0" ] ] }, "title" : "21 SRI Strategies", "type" : "webpage" }, "uris" : [ "http://www.mendeley.com/documents/?uuid=42378fe9-a75d-4e58-83aa-303808adc854" ] } ], "mendeley" : { "formattedCitation" : "(SRI Connect, n.d.-a)", "manualFormatting" : "(SRI Connect)", "plainTextFormattedCitation" : "(SRI Connect, n.d.-a)", "previouslyFormattedCitation" : "(SRI Connect, n.d.-a)" }, "properties" : { "noteIndex" : 0 }, "schema" : "https://github.com/citation-style-language/schema/raw/master/csl-citation.json" }</w:instrText>
      </w:r>
      <w:r>
        <w:fldChar w:fldCharType="separate"/>
      </w:r>
      <w:r w:rsidRPr="0066544C">
        <w:rPr>
          <w:noProof/>
        </w:rPr>
        <w:t>(SRI Connect)</w:t>
      </w:r>
      <w:r>
        <w:fldChar w:fldCharType="end"/>
      </w:r>
      <w:r w:rsidRPr="006F131F">
        <w:t xml:space="preserve">. In Europe, SRI strategies through negative screening or ‘exclusions’ are estimated to be EUR17.5 trillion, making up approximately half of the total professionally managed assets in Europe </w:t>
      </w:r>
      <w:r w:rsidRPr="006F131F">
        <w:fldChar w:fldCharType="begin" w:fldLock="1"/>
      </w:r>
      <w:r w:rsidRPr="006F131F">
        <w:instrText>ADDIN CSL_CITATION { "citationItems" : [ { "id" : "ITEM-1", "itemData" : { "DOI" : "10.1080/14634980802171106", "ISBN" : "03784266", "ISSN" : "1463-4988", "PMID" : "522", "author" : [ { "dropping-particle" : "", "family" : "Eurosif", "given" : "", "non-dropping-particle" : "", "parse-names" : false, "suffix" : "" } ], "id" : "ITEM-1", "issued" : { "date-parts" : [ [ "2016" ] ] }, "title" : "2016 European SRI Study", "type" : "article-journal" }, "uris" : [ "http://www.mendeley.com/documents/?uuid=ce23dbbb-11fe-47c9-a468-f893ae8a02a7" ] } ], "mendeley" : { "formattedCitation" : "(Eurosif, 2016)", "plainTextFormattedCitation" : "(Eurosif, 2016)", "previouslyFormattedCitation" : "(Eurosif, 2016)" }, "properties" : { "noteIndex" : 0 }, "schema" : "https://github.com/citation-style-language/schema/raw/master/csl-citation.json" }</w:instrText>
      </w:r>
      <w:r w:rsidRPr="006F131F">
        <w:fldChar w:fldCharType="separate"/>
      </w:r>
      <w:r w:rsidRPr="006F131F">
        <w:rPr>
          <w:noProof/>
        </w:rPr>
        <w:t>(Eurosif, 2016)</w:t>
      </w:r>
      <w:r w:rsidRPr="006F131F">
        <w:fldChar w:fldCharType="end"/>
      </w:r>
      <w:r w:rsidRPr="006F131F">
        <w:t xml:space="preserve">. Impact investing was seen to be the fastest growing investment sector under SRI with a compound annual growth rate (CAGR) of 120% since 2013 amounting to almost EUR1 trillion in total assets </w:t>
      </w:r>
      <w:r w:rsidRPr="006F131F">
        <w:fldChar w:fldCharType="begin"/>
      </w:r>
      <w:r w:rsidRPr="006F131F">
        <w:instrText xml:space="preserve"> ADDIN EN.CITE &lt;EndNote&gt;&lt;Cite&gt;&lt;Author&gt;Eurosif&lt;/Author&gt;&lt;Year&gt;2016&lt;/Year&gt;&lt;RecNum&gt;546&lt;/RecNum&gt;&lt;DisplayText&gt;(Eurosif, 2016)&lt;/DisplayText&gt;&lt;record&gt;&lt;rec-number&gt;546&lt;/rec-number&gt;&lt;foreign-keys&gt;&lt;key app="EN" db-id="s0sspezxpswprxedwfqp9fae9fszzs2dxzta" timestamp="1488199033"&gt;546&lt;/key&gt;&lt;/foreign-keys&gt;&lt;ref-type name="Report"&gt;27&lt;/ref-type&gt;&lt;contributors&gt;&lt;authors&gt;&lt;author&gt;Eurosif&lt;/author&gt;&lt;/authors&gt;&lt;/contributors&gt;&lt;titles&gt;&lt;title&gt;European SRI Study 2016&lt;/title&gt;&lt;/titles&gt;&lt;dates&gt;&lt;year&gt;2016&lt;/year&gt;&lt;/dates&gt;&lt;urls&gt;&lt;related-urls&gt;&lt;url&gt;http://www.eurosif.org/wp-content/uploads/2016/11/SRI-study-2016-LR-.pdf&lt;/url&gt;&lt;/related-urls&gt;&lt;/urls&gt;&lt;/record&gt;&lt;/Cite&gt;&lt;/EndNote&gt;</w:instrText>
      </w:r>
      <w:r w:rsidRPr="006F131F">
        <w:fldChar w:fldCharType="separate"/>
      </w:r>
      <w:r w:rsidRPr="006F131F">
        <w:rPr>
          <w:noProof/>
        </w:rPr>
        <w:t>(Eurosif, 2016)</w:t>
      </w:r>
      <w:r w:rsidRPr="006F131F">
        <w:fldChar w:fldCharType="end"/>
      </w:r>
      <w:r w:rsidRPr="006F131F">
        <w:t>. Impact investing include</w:t>
      </w:r>
      <w:r>
        <w:t>s</w:t>
      </w:r>
      <w:r w:rsidRPr="006F131F">
        <w:t xml:space="preserve"> the issuances of financial tools such as the green bonds, vaccine bonds and vaccine sukuk. Meanwhile in the US, at the start of 2016, there has </w:t>
      </w:r>
      <w:r w:rsidRPr="006F131F">
        <w:rPr>
          <w:color w:val="000000" w:themeColor="text1"/>
        </w:rPr>
        <w:t xml:space="preserve">been a </w:t>
      </w:r>
      <w:r w:rsidRPr="006F131F">
        <w:rPr>
          <w:bCs/>
          <w:color w:val="000000" w:themeColor="text1"/>
        </w:rPr>
        <w:t xml:space="preserve">33% growth </w:t>
      </w:r>
      <w:r w:rsidRPr="006F131F">
        <w:t xml:space="preserve">since </w:t>
      </w:r>
      <w:r w:rsidRPr="006F131F">
        <w:rPr>
          <w:bCs/>
          <w:color w:val="000000" w:themeColor="text1"/>
        </w:rPr>
        <w:t xml:space="preserve">2014 of the </w:t>
      </w:r>
      <w:r w:rsidRPr="006F131F">
        <w:t>US-domiciled assets under management using SRI strategies to USD8.72 trillion</w:t>
      </w:r>
      <w:r>
        <w:t xml:space="preserve"> </w:t>
      </w:r>
      <w:r>
        <w:fldChar w:fldCharType="begin" w:fldLock="1"/>
      </w:r>
      <w:r>
        <w:instrText>ADDIN CSL_CITATION { "citationItems" : [ { "id" : "ITEM-1", "itemData" : { "author" : [ { "dropping-particle" : "", "family" : "US SIF", "given" : "", "non-dropping-particle" : "", "parse-names" : false, "suffix" : "" } ], "id" : "ITEM-1", "issued" : { "date-parts" : [ [ "2016" ] ] }, "title" : "2016 Trends Report Highlights Snapshot of US Sustainable , Responsible and Impact Investing", "type" : "article-journal" }, "uris" : [ "http://www.mendeley.com/documents/?uuid=de8f773c-d827-4362-ad29-d33c828ffd21" ] } ], "mendeley" : { "formattedCitation" : "(US SIF, 2016a)", "plainTextFormattedCitation" : "(US SIF, 2016a)", "previouslyFormattedCitation" : "(US SIF, 2016a)" }, "properties" : { "noteIndex" : 0 }, "schema" : "https://github.com/citation-style-language/schema/raw/master/csl-citation.json" }</w:instrText>
      </w:r>
      <w:r>
        <w:fldChar w:fldCharType="separate"/>
      </w:r>
      <w:r w:rsidRPr="00DD562B">
        <w:rPr>
          <w:noProof/>
        </w:rPr>
        <w:t>(US SIF, 2016a)</w:t>
      </w:r>
      <w:r>
        <w:fldChar w:fldCharType="end"/>
      </w:r>
      <w:r w:rsidRPr="006F131F">
        <w:t>.</w:t>
      </w:r>
    </w:p>
    <w:p w14:paraId="45FD5DA9" w14:textId="77777777" w:rsidR="00B20F6D" w:rsidRPr="006F131F" w:rsidRDefault="00B20F6D" w:rsidP="00046B89">
      <w:pPr>
        <w:pStyle w:val="NormalWeb"/>
        <w:shd w:val="clear" w:color="auto" w:fill="FFFFFF"/>
        <w:spacing w:before="0" w:beforeAutospacing="0" w:after="0" w:afterAutospacing="0"/>
      </w:pPr>
    </w:p>
    <w:p w14:paraId="23FEE680" w14:textId="19C75FB9" w:rsidR="00B20F6D" w:rsidRPr="00F9581D" w:rsidRDefault="00B20F6D" w:rsidP="00046B89">
      <w:pPr>
        <w:pStyle w:val="Heading3"/>
        <w:numPr>
          <w:ilvl w:val="2"/>
          <w:numId w:val="37"/>
        </w:numPr>
        <w:spacing w:line="240" w:lineRule="auto"/>
      </w:pPr>
      <w:bookmarkStart w:id="11" w:name="_Toc491649674"/>
      <w:bookmarkEnd w:id="10"/>
      <w:r w:rsidRPr="00F9581D">
        <w:lastRenderedPageBreak/>
        <w:t>SRI Sukuk Framework</w:t>
      </w:r>
      <w:bookmarkEnd w:id="11"/>
      <w:r w:rsidRPr="00F9581D">
        <w:t xml:space="preserve"> </w:t>
      </w:r>
    </w:p>
    <w:p w14:paraId="41CF50F2" w14:textId="0E0A79D3" w:rsidR="00B20F6D" w:rsidRPr="006F131F" w:rsidRDefault="00B20F6D" w:rsidP="00046B89">
      <w:pPr>
        <w:spacing w:line="240" w:lineRule="auto"/>
      </w:pPr>
      <w:bookmarkStart w:id="12" w:name="_Toc477156000"/>
      <w:r w:rsidRPr="006F131F">
        <w:t>Securities Commission Malaysia (SC) launched the Capital Market Masterplan 2 in 2011 to promote socially responsible financing and investment. The Masterplan sets the agenda to develop a conducive environment for investors and issuers interested in SRI, and facilitate the growing trend of new financial instruments such as green bonds and Social Impact Bonds</w:t>
      </w:r>
      <w:r>
        <w:t xml:space="preserve"> </w:t>
      </w:r>
      <w:r>
        <w:fldChar w:fldCharType="begin" w:fldLock="1"/>
      </w:r>
      <w:r>
        <w:instrText>ADDIN CSL_CITATION { "citationItems" : [ { "id" : "ITEM-1", "itemData" : { "author" : [ { "dropping-particle" : "", "family" : "Securities Commission", "given" : "", "non-dropping-particle" : "", "parse-names" : false, "suffix" : "" } ], "id" : "ITEM-1", "issued" : { "date-parts" : [ [ "2011" ] ] }, "title" : "Capital Market Masterplan 2", "type" : "report" }, "uris" : [ "http://www.mendeley.com/documents/?uuid=135a9a7f-72d6-4619-ab93-c67999f458ce" ] } ], "mendeley" : { "formattedCitation" : "(Securities Commission, 2011)", "plainTextFormattedCitation" : "(Securities Commission, 2011)", "previouslyFormattedCitation" : "(Securities Commission, 2011)" }, "properties" : { "noteIndex" : 0 }, "schema" : "https://github.com/citation-style-language/schema/raw/master/csl-citation.json" }</w:instrText>
      </w:r>
      <w:r>
        <w:fldChar w:fldCharType="separate"/>
      </w:r>
      <w:r w:rsidRPr="007F6DB8">
        <w:rPr>
          <w:noProof/>
        </w:rPr>
        <w:t>(Securities Commission, 2011)</w:t>
      </w:r>
      <w:r>
        <w:fldChar w:fldCharType="end"/>
      </w:r>
      <w:r w:rsidRPr="006F131F">
        <w:t xml:space="preserve">. In 2013, Malaysia’s Prime Minister announced in Budget 2014 speech, that efforts will be intensified to promote Malaysia as a market for SRI </w:t>
      </w:r>
      <w:r w:rsidRPr="006F131F">
        <w:fldChar w:fldCharType="begin"/>
      </w:r>
      <w:r w:rsidRPr="006F131F">
        <w:instrText xml:space="preserve"> ADDIN EN.CITE &lt;EndNote&gt;&lt;Cite&gt;&lt;Author&gt;Ministry of Finance Malaysia&lt;/Author&gt;&lt;Year&gt;2013&lt;/Year&gt;&lt;RecNum&gt;90&lt;/RecNum&gt;&lt;DisplayText&gt;(Ministry of Finance Malaysia, 2013)&lt;/DisplayText&gt;&lt;record&gt;&lt;rec-number&gt;90&lt;/rec-number&gt;&lt;foreign-keys&gt;&lt;key app="EN" db-id="s0sspezxpswprxedwfqp9fae9fszzs2dxzta" timestamp="1409298481"&gt;90&lt;/key&gt;&lt;/foreign-keys&gt;&lt;ref-type name="Government Document"&gt;46&lt;/ref-type&gt;&lt;contributors&gt;&lt;authors&gt;&lt;author&gt;Ministry of Finance Malaysia, &lt;/author&gt;&lt;/authors&gt;&lt;secondary-authors&gt;&lt;author&gt;Ministry of Finance Malaysia, &lt;/author&gt;&lt;/secondary-authors&gt;&lt;/contributors&gt;&lt;titles&gt;&lt;title&gt;The 2014 Budget&lt;/title&gt;&lt;/titles&gt;&lt;dates&gt;&lt;year&gt;2013&lt;/year&gt;&lt;/dates&gt;&lt;pub-location&gt;Malaysia&lt;/pub-location&gt;&lt;publisher&gt;Government of Malaysia&lt;/publisher&gt;&lt;urls&gt;&lt;/urls&gt;&lt;/record&gt;&lt;/Cite&gt;&lt;/EndNote&gt;</w:instrText>
      </w:r>
      <w:r w:rsidRPr="006F131F">
        <w:fldChar w:fldCharType="separate"/>
      </w:r>
      <w:r w:rsidRPr="006F131F">
        <w:rPr>
          <w:noProof/>
        </w:rPr>
        <w:t>(Ministry of Finance Malaysia, 2013)</w:t>
      </w:r>
      <w:r w:rsidRPr="006F131F">
        <w:fldChar w:fldCharType="end"/>
      </w:r>
      <w:r w:rsidRPr="006F131F">
        <w:t>. Subsequently in 2014, SC revised the Guidelines on Sukuk to incorporate the new requir</w:t>
      </w:r>
      <w:r>
        <w:t>ements for the issuance of SRI sukuk</w:t>
      </w:r>
      <w:r w:rsidRPr="006F131F">
        <w:t xml:space="preserve">. </w:t>
      </w:r>
    </w:p>
    <w:p w14:paraId="2E1CCE32" w14:textId="25DF303D" w:rsidR="00B20F6D" w:rsidRDefault="00B20F6D" w:rsidP="00046B89">
      <w:pPr>
        <w:spacing w:line="240" w:lineRule="auto"/>
        <w:rPr>
          <w:rFonts w:eastAsiaTheme="majorEastAsia"/>
        </w:rPr>
      </w:pPr>
      <w:r>
        <w:t>The guideline on sukuk states that SRI sukuk</w:t>
      </w:r>
      <w:r w:rsidRPr="006F131F">
        <w:t xml:space="preserve"> issuance proceeds will be utilised for the purpose of funding eligible projects that aim to preserve and protect the environment and natural resources; conserve the use of energy; promote the use of renewable energy; reduce greenhouse gas emission; or improve the quality of life for the society. Other p</w:t>
      </w:r>
      <w:r w:rsidRPr="006F131F">
        <w:rPr>
          <w:rFonts w:eastAsiaTheme="majorEastAsia"/>
        </w:rPr>
        <w:t>rojects that are eligible to be categorised under SRI project include those projects with physical assets/activities related to natural resources; renewable energy and energy efficiency; community</w:t>
      </w:r>
      <w:r>
        <w:rPr>
          <w:rFonts w:eastAsiaTheme="majorEastAsia"/>
        </w:rPr>
        <w:t xml:space="preserve"> and economic development, and w</w:t>
      </w:r>
      <w:r w:rsidRPr="006F131F">
        <w:rPr>
          <w:rFonts w:eastAsiaTheme="majorEastAsia"/>
        </w:rPr>
        <w:t>aqf properties/assets, which includes any projects tha</w:t>
      </w:r>
      <w:r>
        <w:rPr>
          <w:rFonts w:eastAsiaTheme="majorEastAsia"/>
        </w:rPr>
        <w:t>t undertake the development of w</w:t>
      </w:r>
      <w:r w:rsidRPr="006F131F">
        <w:rPr>
          <w:rFonts w:eastAsiaTheme="majorEastAsia"/>
        </w:rPr>
        <w:t>aqf properties/ assets.</w:t>
      </w:r>
    </w:p>
    <w:p w14:paraId="1DF033AC" w14:textId="061C7D95" w:rsidR="00B20F6D" w:rsidRPr="0000799A" w:rsidRDefault="00B20F6D" w:rsidP="00046B89">
      <w:pPr>
        <w:spacing w:line="240" w:lineRule="auto"/>
        <w:rPr>
          <w:rFonts w:eastAsiaTheme="majorEastAsia"/>
        </w:rPr>
      </w:pPr>
      <w:r>
        <w:rPr>
          <w:rFonts w:eastAsiaTheme="majorEastAsia"/>
        </w:rPr>
        <w:t>The inclusion of w</w:t>
      </w:r>
      <w:r w:rsidRPr="006F131F">
        <w:rPr>
          <w:rFonts w:eastAsiaTheme="majorEastAsia"/>
        </w:rPr>
        <w:t>aq</w:t>
      </w:r>
      <w:r>
        <w:rPr>
          <w:rFonts w:eastAsiaTheme="majorEastAsia"/>
        </w:rPr>
        <w:t xml:space="preserve">f </w:t>
      </w:r>
      <w:r w:rsidRPr="006F131F">
        <w:rPr>
          <w:rFonts w:eastAsiaTheme="majorEastAsia"/>
        </w:rPr>
        <w:t>properties/assets as one of the eligible categories for SRI projects is meaningful because it provides the avenue for investors to dedicate the wealth towards perpetual returns which can benefit the society</w:t>
      </w:r>
      <w:r>
        <w:rPr>
          <w:rFonts w:eastAsiaTheme="majorEastAsia"/>
        </w:rPr>
        <w:t>. However, the issuance of SRI sukuk for development of w</w:t>
      </w:r>
      <w:r w:rsidRPr="006F131F">
        <w:rPr>
          <w:rFonts w:eastAsiaTheme="majorEastAsia"/>
        </w:rPr>
        <w:t xml:space="preserve">aqf assets is still rather unexplored. Therefore, </w:t>
      </w:r>
      <w:r>
        <w:rPr>
          <w:rFonts w:eastAsiaTheme="majorEastAsia"/>
        </w:rPr>
        <w:t>this study attempts to explore and further develop the connection of these two areas</w:t>
      </w:r>
      <w:r w:rsidRPr="006F131F">
        <w:rPr>
          <w:rFonts w:eastAsiaTheme="majorEastAsia"/>
        </w:rPr>
        <w:t>.</w:t>
      </w:r>
    </w:p>
    <w:p w14:paraId="22FB0A7A" w14:textId="414EF2EC" w:rsidR="00B20F6D" w:rsidRPr="00F9581D" w:rsidRDefault="00B20F6D" w:rsidP="00046B89">
      <w:pPr>
        <w:pStyle w:val="Heading3"/>
        <w:numPr>
          <w:ilvl w:val="2"/>
          <w:numId w:val="37"/>
        </w:numPr>
        <w:spacing w:line="240" w:lineRule="auto"/>
      </w:pPr>
      <w:bookmarkStart w:id="13" w:name="_Toc491649675"/>
      <w:r w:rsidRPr="00F9581D">
        <w:t xml:space="preserve">Case Study: First SRI sukuk </w:t>
      </w:r>
      <w:bookmarkEnd w:id="12"/>
      <w:r w:rsidRPr="00F9581D">
        <w:t>in Malaysia</w:t>
      </w:r>
      <w:bookmarkEnd w:id="13"/>
    </w:p>
    <w:p w14:paraId="57167423" w14:textId="77777777" w:rsidR="00B20F6D" w:rsidRDefault="00B20F6D" w:rsidP="00046B89">
      <w:pPr>
        <w:spacing w:line="240" w:lineRule="auto"/>
        <w:rPr>
          <w:szCs w:val="32"/>
        </w:rPr>
      </w:pPr>
      <w:bookmarkStart w:id="14" w:name="_Toc477156002"/>
      <w:r w:rsidRPr="006F131F">
        <w:t xml:space="preserve">The </w:t>
      </w:r>
      <w:r>
        <w:t>SRI Sukuk Ihsan</w:t>
      </w:r>
      <w:r w:rsidRPr="006F131F">
        <w:t xml:space="preserve"> by Khazanah is the first ever </w:t>
      </w:r>
      <w:r>
        <w:t>SRI sukuk</w:t>
      </w:r>
      <w:r w:rsidRPr="006F131F">
        <w:t xml:space="preserve"> to be approved under the </w:t>
      </w:r>
      <w:r>
        <w:t>SRI sukuk framework</w:t>
      </w:r>
      <w:r w:rsidRPr="006F131F">
        <w:t xml:space="preserve">. </w:t>
      </w:r>
      <w:r w:rsidRPr="006F131F">
        <w:rPr>
          <w:szCs w:val="32"/>
        </w:rPr>
        <w:t xml:space="preserve">This </w:t>
      </w:r>
      <w:r>
        <w:rPr>
          <w:szCs w:val="32"/>
        </w:rPr>
        <w:t>SRI sukuk</w:t>
      </w:r>
      <w:r w:rsidRPr="006F131F">
        <w:rPr>
          <w:szCs w:val="32"/>
        </w:rPr>
        <w:t xml:space="preserve"> has a total RM 1 billion in nominal value and the period of 25 years until its maturity. The sukuk is divided into several tranches. </w:t>
      </w:r>
      <w:r w:rsidRPr="006F131F">
        <w:t>The first issuance on the 18</w:t>
      </w:r>
      <w:r w:rsidRPr="006F131F">
        <w:rPr>
          <w:vertAlign w:val="superscript"/>
        </w:rPr>
        <w:t>th</w:t>
      </w:r>
      <w:r w:rsidRPr="006F131F">
        <w:t xml:space="preserve"> of June 2015 and second issuance on 8</w:t>
      </w:r>
      <w:r w:rsidRPr="006F131F">
        <w:rPr>
          <w:vertAlign w:val="superscript"/>
        </w:rPr>
        <w:t>th</w:t>
      </w:r>
      <w:r w:rsidRPr="006F131F">
        <w:t xml:space="preserve"> of August 2017, managed to raise RM100 million respectively. The sukuk was given a rating of AAA by RAM Ratings Services Berhad</w:t>
      </w:r>
      <w:r>
        <w:t xml:space="preserve"> </w:t>
      </w:r>
      <w:r>
        <w:fldChar w:fldCharType="begin" w:fldLock="1"/>
      </w:r>
      <w:r>
        <w:instrText>ADDIN CSL_CITATION { "citationItems" : [ { "id" : "ITEM-1", "itemData" : { "URL" : "http://www.ram.com.my/pressReleaseView.aspx?ID=18c18604-695e-4d6c-b5b6-62d958a70c79", "author" : [ { "dropping-particle" : "", "family" : "RAM Ratings", "given" : "", "non-dropping-particle" : "", "parse-names" : false, "suffix" : "" } ], "container-title" : "RAM Ratings", "id" : "ITEM-1", "issued" : { "date-parts" : [ [ "2015" ] ] }, "title" : "RAM Ratings Assigns AAA(s) Preliminary Rating to Malaysia's First SRI Sukuk Programme", "type" : "webpage" }, "uris" : [ "http://www.mendeley.com/documents/?uuid=0f100122-873d-49fc-9671-d5b6337ac468" ] } ], "mendeley" : { "formattedCitation" : "(RAM Ratings, 2015)", "plainTextFormattedCitation" : "(RAM Ratings, 2015)", "previouslyFormattedCitation" : "(RAM Ratings, 2015)" }, "properties" : { "noteIndex" : 0 }, "schema" : "https://github.com/citation-style-language/schema/raw/master/csl-citation.json" }</w:instrText>
      </w:r>
      <w:r>
        <w:fldChar w:fldCharType="separate"/>
      </w:r>
      <w:r w:rsidRPr="007F6DB8">
        <w:rPr>
          <w:noProof/>
        </w:rPr>
        <w:t>(RAM Ratings, 2015)</w:t>
      </w:r>
      <w:r>
        <w:fldChar w:fldCharType="end"/>
      </w:r>
      <w:r w:rsidRPr="006F131F">
        <w:t xml:space="preserve">, due to Khazanah Nasional being the obligor. </w:t>
      </w:r>
      <w:r w:rsidRPr="006F131F">
        <w:rPr>
          <w:szCs w:val="32"/>
        </w:rPr>
        <w:t xml:space="preserve"> </w:t>
      </w:r>
      <w:r>
        <w:t xml:space="preserve">Both issuances are intended </w:t>
      </w:r>
      <w:r w:rsidRPr="006F131F">
        <w:t>to</w:t>
      </w:r>
      <w:r w:rsidRPr="006F131F">
        <w:rPr>
          <w:color w:val="000000"/>
        </w:rPr>
        <w:t xml:space="preserve"> improve accessibility to quality education in Malaysia. </w:t>
      </w:r>
      <w:r>
        <w:rPr>
          <w:szCs w:val="32"/>
        </w:rPr>
        <w:t xml:space="preserve">According to </w:t>
      </w:r>
      <w:r w:rsidRPr="006F131F">
        <w:rPr>
          <w:szCs w:val="32"/>
        </w:rPr>
        <w:t xml:space="preserve">Khazanah’s </w:t>
      </w:r>
      <w:r>
        <w:rPr>
          <w:szCs w:val="32"/>
        </w:rPr>
        <w:t>executive director of investment</w:t>
      </w:r>
      <w:r w:rsidRPr="006F131F">
        <w:rPr>
          <w:szCs w:val="32"/>
        </w:rPr>
        <w:t xml:space="preserve">, </w:t>
      </w:r>
      <w:r>
        <w:rPr>
          <w:szCs w:val="32"/>
        </w:rPr>
        <w:t xml:space="preserve">Dato’ </w:t>
      </w:r>
      <w:r w:rsidRPr="006F131F">
        <w:rPr>
          <w:szCs w:val="32"/>
        </w:rPr>
        <w:t xml:space="preserve">Mohd Izani Ghani, some of the next tranches may include healthcare and affordable housing. </w:t>
      </w:r>
    </w:p>
    <w:p w14:paraId="202DE966" w14:textId="40C77DF7" w:rsidR="00B20F6D" w:rsidRPr="006F131F" w:rsidRDefault="00B20F6D" w:rsidP="00046B89">
      <w:pPr>
        <w:spacing w:line="240" w:lineRule="auto"/>
      </w:pPr>
      <w:r>
        <w:t>The proceeds from the s</w:t>
      </w:r>
      <w:r w:rsidRPr="006F131F">
        <w:t xml:space="preserve">ukuk investments from each issuance are to be used to fund the roll-out of at least 20 schools under Yayasan Amir’s Trust School Programme. Yayasan Amir is a Non-Profit Organisation (NPO) incorporated by Khazanah with the aim to help improve the quality of education in Malaysian public schools through Public-Private Partnerships with the Malaysian Ministry of Education </w:t>
      </w:r>
      <w:r w:rsidRPr="006F131F">
        <w:fldChar w:fldCharType="begin" w:fldLock="1"/>
      </w:r>
      <w:r>
        <w:instrText>ADDIN CSL_CITATION { "citationItems" : [ { "id" : "ITEM-1", "itemData" : { "URL" : "http://www.khazanah.com.my/Media-Downloads/News-Press-Releases/2017/Khazanah-to-issue-second-tranche-of-Sustainable-an", "accessed" : { "date-parts" : [ [ "2017", "8", "18" ] ] }, "author" : [ { "dropping-particle" : "", "family" : "Khazanah Nasional", "given" : "", "non-dropping-particle" : "", "parse-names" : false, "suffix" : "" } ], "id" : "ITEM-1", "issued" : { "date-parts" : [ [ "2017" ] ] }, "title" : "Khazanah Nasional Berhad - Khazanah to issue second tranche of Sustainable and Responsible Investment (SRI) Sukuk", "type" : "webpage" }, "uris" : [ "http://www.mendeley.com/documents/?uuid=c42038b3-e7de-3c5e-922a-6974433adada" ] } ], "mendeley" : { "formattedCitation" : "(Khazanah Nasional, 2017)", "plainTextFormattedCitation" : "(Khazanah Nasional, 2017)", "previouslyFormattedCitation" : "(Khazanah Nasional, 2017)" }, "properties" : { "noteIndex" : 0 }, "schema" : "https://github.com/citation-style-language/schema/raw/master/csl-citation.json" }</w:instrText>
      </w:r>
      <w:r w:rsidRPr="006F131F">
        <w:fldChar w:fldCharType="separate"/>
      </w:r>
      <w:r w:rsidRPr="00DB0A72">
        <w:rPr>
          <w:noProof/>
        </w:rPr>
        <w:t>(Khazanah Nasional, 2017)</w:t>
      </w:r>
      <w:r w:rsidRPr="006F131F">
        <w:fldChar w:fldCharType="end"/>
      </w:r>
      <w:r w:rsidRPr="006F131F">
        <w:t xml:space="preserve">. Before the first </w:t>
      </w:r>
      <w:r>
        <w:t>SRI sukuk</w:t>
      </w:r>
      <w:r w:rsidRPr="006F131F">
        <w:t xml:space="preserve"> was issued, there were already 30 schools under the programme, encompassing rural and urban schools, and impacting more than 20,000 schools nationwide </w:t>
      </w:r>
      <w:r w:rsidRPr="006F131F">
        <w:fldChar w:fldCharType="begin"/>
      </w:r>
      <w:r w:rsidRPr="006F131F">
        <w:instrText xml:space="preserve"> ADDIN EN.CITE &lt;EndNote&gt;&lt;Cite&gt;&lt;Author&gt;Ghani&lt;/Author&gt;&lt;Year&gt;2015&lt;/Year&gt;&lt;RecNum&gt;339&lt;/RecNum&gt;&lt;DisplayText&gt;(Ghani, 2015)&lt;/DisplayText&gt;&lt;record&gt;&lt;rec-number&gt;339&lt;/rec-number&gt;&lt;foreign-keys&gt;&lt;key app="EN" db-id="s0sspezxpswprxedwfqp9fae9fszzs2dxzta" timestamp="1446712400"&gt;339&lt;/key&gt;&lt;/foreign-keys&gt;&lt;ref-type name="Report"&gt;27&lt;/ref-type&gt;&lt;contributors&gt;&lt;authors&gt;&lt;author&gt;Mohd Izani Ghani&lt;/author&gt;&lt;/authors&gt;&lt;secondary-authors&gt;&lt;author&gt;Thomson Reuters&lt;/author&gt;&lt;/secondary-authors&gt;&lt;/contributors&gt;&lt;titles&gt;&lt;title&gt;The World&amp;apos;s First Ringgit-Denominated SRI Sukuk&lt;/title&gt;&lt;secondary-title&gt;Thomson Reuters - RFI Responsible Finance Report 2015: The emerging convergence of SRI, ESG and Islamic Finance&lt;/secondary-title&gt;&lt;/titles&gt;&lt;keywords&gt;&lt;keyword&gt;SRI&lt;/keyword&gt;&lt;keyword&gt;ESG&lt;/keyword&gt;&lt;keyword&gt;Islamic Finance&lt;/keyword&gt;&lt;/keywords&gt;&lt;dates&gt;&lt;year&gt;2015&lt;/year&gt;&lt;pub-dates&gt;&lt;date&gt;2015&lt;/date&gt;&lt;/pub-dates&gt;&lt;/dates&gt;&lt;publisher&gt;Thomson Reuters&lt;/publisher&gt;&lt;urls&gt;&lt;/urls&gt;&lt;/record&gt;&lt;/Cite&gt;&lt;/EndNote&gt;</w:instrText>
      </w:r>
      <w:r w:rsidRPr="006F131F">
        <w:fldChar w:fldCharType="separate"/>
      </w:r>
      <w:r w:rsidRPr="006F131F">
        <w:rPr>
          <w:noProof/>
        </w:rPr>
        <w:t>(Ghani, 2015)</w:t>
      </w:r>
      <w:r w:rsidRPr="006F131F">
        <w:fldChar w:fldCharType="end"/>
      </w:r>
      <w:r w:rsidRPr="006F131F">
        <w:t xml:space="preserve">. The strategic goals of the Trust School programme focuses on various stakeholders including: school leaders, teachers, students, parents, and the community </w:t>
      </w:r>
      <w:r w:rsidRPr="006F131F">
        <w:fldChar w:fldCharType="begin"/>
      </w:r>
      <w:r w:rsidRPr="006F131F">
        <w:instrText xml:space="preserve"> ADDIN EN.CITE &lt;EndNote&gt;&lt;Cite&gt;&lt;Author&gt;CIMB&lt;/Author&gt;&lt;Year&gt;2015&lt;/Year&gt;&lt;RecNum&gt;298&lt;/RecNum&gt;&lt;DisplayText&gt;(CIMB, 2015)&lt;/DisplayText&gt;&lt;record&gt;&lt;rec-number&gt;298&lt;/rec-number&gt;&lt;foreign-keys&gt;&lt;key app="EN" db-id="s0sspezxpswprxedwfqp9fae9fszzs2dxzta" timestamp="1433758642"&gt;298&lt;/key&gt;&lt;/foreign-keys&gt;&lt;ref-type name="Generic"&gt;13&lt;/ref-type&gt;&lt;contributors&gt;&lt;authors&gt;&lt;author&gt;CIMB,&lt;/author&gt;&lt;/authors&gt;&lt;/contributors&gt;&lt;titles&gt;&lt;title&gt;Ihsan Sukuk Berhad: Information Memorandum&lt;/title&gt;&lt;/titles&gt;&lt;keywords&gt;&lt;keyword&gt;CIMB&lt;/keyword&gt;&lt;keyword&gt;Ihsan Sukuk&lt;/keyword&gt;&lt;keyword&gt;SRI sukuk&lt;/keyword&gt;&lt;keyword&gt;Malaysia&lt;/keyword&gt;&lt;keyword&gt;SIB&lt;/keyword&gt;&lt;/keywords&gt;&lt;dates&gt;&lt;year&gt;2015&lt;/year&gt;&lt;/dates&gt;&lt;pub-location&gt;Malaysia&lt;/pub-location&gt;&lt;publisher&gt;CIMB&lt;/publisher&gt;&lt;urls&gt;&lt;/urls&gt;&lt;/record&gt;&lt;/Cite&gt;&lt;/EndNote&gt;</w:instrText>
      </w:r>
      <w:r w:rsidRPr="006F131F">
        <w:fldChar w:fldCharType="separate"/>
      </w:r>
      <w:r w:rsidRPr="006F131F">
        <w:rPr>
          <w:noProof/>
        </w:rPr>
        <w:t>(CIMB, 2015)</w:t>
      </w:r>
      <w:r w:rsidRPr="006F131F">
        <w:fldChar w:fldCharType="end"/>
      </w:r>
      <w:r w:rsidRPr="006F131F">
        <w:t xml:space="preserve">.  </w:t>
      </w:r>
    </w:p>
    <w:p w14:paraId="1E3753E3" w14:textId="47549F1A" w:rsidR="00B20F6D" w:rsidRPr="006F131F" w:rsidRDefault="00B20F6D" w:rsidP="00046B89">
      <w:pPr>
        <w:spacing w:line="240" w:lineRule="auto"/>
        <w:rPr>
          <w:szCs w:val="32"/>
        </w:rPr>
      </w:pPr>
      <w:r w:rsidRPr="006F131F">
        <w:rPr>
          <w:szCs w:val="32"/>
        </w:rPr>
        <w:t xml:space="preserve">The </w:t>
      </w:r>
      <w:r>
        <w:rPr>
          <w:szCs w:val="32"/>
        </w:rPr>
        <w:t>SRI sukuk</w:t>
      </w:r>
      <w:r w:rsidRPr="006F131F">
        <w:rPr>
          <w:szCs w:val="32"/>
        </w:rPr>
        <w:t xml:space="preserve"> was st</w:t>
      </w:r>
      <w:r>
        <w:rPr>
          <w:szCs w:val="32"/>
        </w:rPr>
        <w:t xml:space="preserve">ructured based on Wakalah Bil </w:t>
      </w:r>
      <w:r w:rsidRPr="006F131F">
        <w:rPr>
          <w:szCs w:val="32"/>
        </w:rPr>
        <w:t xml:space="preserve">Istithmar in which, the concept of appointment of other entities to manage sukukholders’ fund on behalf of sukukholders is applied. The first step of the structure is the appointment of Ihsan as investment </w:t>
      </w:r>
      <w:r w:rsidRPr="006F131F">
        <w:rPr>
          <w:szCs w:val="32"/>
        </w:rPr>
        <w:lastRenderedPageBreak/>
        <w:t xml:space="preserve">representative or wakeel. Then, Ihsan appoints Khazanah as its sub-representative or sub-wakeel to manage the sukuk fund. Khazanah will then use the sukuk proceed or the sukuk fund collected from sukukholders to invest in shariah-compliant tangible assets and shariah-compliant commodity murabahah. The proceeds or profit made from these investments shall be used to fund </w:t>
      </w:r>
      <w:r w:rsidRPr="006F131F">
        <w:t xml:space="preserve">the roll-out </w:t>
      </w:r>
      <w:r>
        <w:t xml:space="preserve">the </w:t>
      </w:r>
      <w:r w:rsidRPr="006F131F">
        <w:t xml:space="preserve">schools under </w:t>
      </w:r>
      <w:r>
        <w:t>the Trust School Programme</w:t>
      </w:r>
      <w:r>
        <w:rPr>
          <w:szCs w:val="32"/>
        </w:rPr>
        <w:t xml:space="preserve"> and shall</w:t>
      </w:r>
      <w:r w:rsidRPr="006F131F">
        <w:rPr>
          <w:szCs w:val="32"/>
        </w:rPr>
        <w:t xml:space="preserve"> be distributed to sukukholders until the sukuk reaches its maturity date. The illustration is </w:t>
      </w:r>
      <w:r>
        <w:rPr>
          <w:szCs w:val="32"/>
        </w:rPr>
        <w:t>shown in Figure 1.</w:t>
      </w:r>
    </w:p>
    <w:p w14:paraId="4B99F4D2" w14:textId="77777777" w:rsidR="00B20F6D" w:rsidRPr="006F131F" w:rsidRDefault="00B20F6D" w:rsidP="00046B89">
      <w:pPr>
        <w:spacing w:line="240" w:lineRule="auto"/>
        <w:rPr>
          <w:szCs w:val="32"/>
        </w:rPr>
      </w:pPr>
    </w:p>
    <w:p w14:paraId="6C51EF75" w14:textId="77777777" w:rsidR="00B20F6D" w:rsidRDefault="00B20F6D" w:rsidP="00046B89">
      <w:pPr>
        <w:keepNext/>
        <w:spacing w:line="240" w:lineRule="auto"/>
      </w:pPr>
      <w:r w:rsidRPr="006F131F">
        <w:rPr>
          <w:noProof/>
          <w:lang w:val="en-MY" w:eastAsia="en-MY"/>
        </w:rPr>
        <w:drawing>
          <wp:inline distT="0" distB="0" distL="0" distR="0" wp14:anchorId="6DEC7936" wp14:editId="23F30926">
            <wp:extent cx="5720080" cy="2743200"/>
            <wp:effectExtent l="25400" t="25400" r="20320" b="25400"/>
            <wp:docPr id="2" name="Picture 2" descr="../../../../Desktop/Screen%20Shot%202017-06-16%20at%204.56.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6-16%20at%204.56.2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2743200"/>
                    </a:xfrm>
                    <a:prstGeom prst="rect">
                      <a:avLst/>
                    </a:prstGeom>
                    <a:noFill/>
                    <a:ln>
                      <a:solidFill>
                        <a:schemeClr val="tx1"/>
                      </a:solidFill>
                    </a:ln>
                  </pic:spPr>
                </pic:pic>
              </a:graphicData>
            </a:graphic>
          </wp:inline>
        </w:drawing>
      </w:r>
    </w:p>
    <w:p w14:paraId="1E5C4D2C" w14:textId="2F251B5D" w:rsidR="00B20F6D" w:rsidRPr="003C2A19" w:rsidRDefault="00B20F6D" w:rsidP="00046B89">
      <w:pPr>
        <w:pStyle w:val="Caption"/>
        <w:spacing w:after="0"/>
        <w:jc w:val="both"/>
        <w:rPr>
          <w:b w:val="0"/>
          <w:bCs/>
          <w:color w:val="000000" w:themeColor="text1"/>
          <w:sz w:val="22"/>
        </w:rPr>
      </w:pPr>
      <w:bookmarkStart w:id="15" w:name="_Toc491650062"/>
      <w:r w:rsidRPr="003C2A19">
        <w:rPr>
          <w:b w:val="0"/>
          <w:bCs/>
          <w:color w:val="000000" w:themeColor="text1"/>
          <w:sz w:val="22"/>
        </w:rPr>
        <w:t xml:space="preserve">Figure </w:t>
      </w:r>
      <w:r w:rsidRPr="003C2A19">
        <w:rPr>
          <w:b w:val="0"/>
          <w:bCs/>
          <w:color w:val="000000" w:themeColor="text1"/>
          <w:sz w:val="22"/>
        </w:rPr>
        <w:fldChar w:fldCharType="begin"/>
      </w:r>
      <w:r w:rsidRPr="003C2A19">
        <w:rPr>
          <w:b w:val="0"/>
          <w:bCs/>
          <w:color w:val="000000" w:themeColor="text1"/>
          <w:sz w:val="22"/>
        </w:rPr>
        <w:instrText xml:space="preserve"> SEQ Figure \* ARABIC </w:instrText>
      </w:r>
      <w:r w:rsidRPr="003C2A19">
        <w:rPr>
          <w:b w:val="0"/>
          <w:bCs/>
          <w:color w:val="000000" w:themeColor="text1"/>
          <w:sz w:val="22"/>
        </w:rPr>
        <w:fldChar w:fldCharType="separate"/>
      </w:r>
      <w:r w:rsidR="00864D1C">
        <w:rPr>
          <w:b w:val="0"/>
          <w:bCs/>
          <w:noProof/>
          <w:color w:val="000000" w:themeColor="text1"/>
          <w:sz w:val="22"/>
        </w:rPr>
        <w:t>1</w:t>
      </w:r>
      <w:r w:rsidRPr="003C2A19">
        <w:rPr>
          <w:b w:val="0"/>
          <w:bCs/>
          <w:color w:val="000000" w:themeColor="text1"/>
          <w:sz w:val="22"/>
        </w:rPr>
        <w:fldChar w:fldCharType="end"/>
      </w:r>
      <w:r w:rsidRPr="003C2A19">
        <w:rPr>
          <w:b w:val="0"/>
          <w:bCs/>
          <w:color w:val="000000" w:themeColor="text1"/>
          <w:sz w:val="22"/>
        </w:rPr>
        <w:t>: SRI Sukuk Ihsan</w:t>
      </w:r>
      <w:bookmarkEnd w:id="15"/>
    </w:p>
    <w:p w14:paraId="56095997" w14:textId="77777777" w:rsidR="00B20F6D" w:rsidRPr="003C2A19" w:rsidRDefault="00B20F6D" w:rsidP="00046B89">
      <w:pPr>
        <w:pStyle w:val="Caption"/>
        <w:spacing w:after="0"/>
        <w:jc w:val="both"/>
        <w:rPr>
          <w:b w:val="0"/>
          <w:bCs/>
          <w:i/>
          <w:iCs w:val="0"/>
          <w:color w:val="000000" w:themeColor="text1"/>
          <w:sz w:val="22"/>
        </w:rPr>
      </w:pPr>
      <w:r w:rsidRPr="003C2A19">
        <w:rPr>
          <w:b w:val="0"/>
          <w:bCs/>
          <w:i/>
          <w:iCs w:val="0"/>
          <w:color w:val="000000" w:themeColor="text1"/>
          <w:sz w:val="22"/>
        </w:rPr>
        <w:t>(Souce: CIMB)</w:t>
      </w:r>
    </w:p>
    <w:p w14:paraId="3FBED012" w14:textId="77777777" w:rsidR="00B20F6D" w:rsidRDefault="00B20F6D" w:rsidP="00046B89">
      <w:pPr>
        <w:spacing w:line="240" w:lineRule="auto"/>
        <w:rPr>
          <w:szCs w:val="32"/>
        </w:rPr>
      </w:pPr>
    </w:p>
    <w:p w14:paraId="164110B1" w14:textId="09B10CCE" w:rsidR="00B20F6D" w:rsidRPr="006F131F" w:rsidRDefault="00B20F6D" w:rsidP="00046B89">
      <w:pPr>
        <w:spacing w:line="240" w:lineRule="auto"/>
        <w:rPr>
          <w:rFonts w:eastAsia="Times New Roman"/>
        </w:rPr>
      </w:pPr>
      <w:r w:rsidRPr="006F131F">
        <w:rPr>
          <w:szCs w:val="32"/>
        </w:rPr>
        <w:t xml:space="preserve">The return mechanism for the </w:t>
      </w:r>
      <w:r>
        <w:rPr>
          <w:szCs w:val="32"/>
        </w:rPr>
        <w:t>SRI sukuk</w:t>
      </w:r>
      <w:r w:rsidRPr="006F131F">
        <w:rPr>
          <w:szCs w:val="32"/>
        </w:rPr>
        <w:t xml:space="preserve"> is based on the step-down returns structure that is dependent on the achievement of key performance indicators (KPIs).</w:t>
      </w:r>
      <w:r w:rsidRPr="006F131F">
        <w:t xml:space="preserve"> </w:t>
      </w:r>
      <w:r w:rsidRPr="006F131F">
        <w:rPr>
          <w:rFonts w:eastAsia="Times New Roman"/>
          <w:color w:val="000000"/>
          <w:shd w:val="clear" w:color="auto" w:fill="FFFFFF"/>
        </w:rPr>
        <w:t>These KPIs set the required target levels for the number of Trust Schools to be implemented, performance of respective schools’ teachers, senior leadership and students.</w:t>
      </w:r>
      <w:r w:rsidRPr="006F131F">
        <w:rPr>
          <w:rFonts w:eastAsia="Times New Roman"/>
        </w:rPr>
        <w:t xml:space="preserve"> </w:t>
      </w:r>
      <w:r w:rsidRPr="006F131F">
        <w:rPr>
          <w:szCs w:val="32"/>
        </w:rPr>
        <w:t xml:space="preserve">For the </w:t>
      </w:r>
      <w:r>
        <w:rPr>
          <w:szCs w:val="32"/>
        </w:rPr>
        <w:t>SRI Sukuk Ihsan</w:t>
      </w:r>
      <w:r w:rsidRPr="006F131F">
        <w:rPr>
          <w:szCs w:val="32"/>
        </w:rPr>
        <w:t xml:space="preserve"> to be considered a success, all the four criteria need to be fulfilled. </w:t>
      </w:r>
      <w:r w:rsidRPr="006F131F">
        <w:t xml:space="preserve">The </w:t>
      </w:r>
      <w:r w:rsidRPr="006F131F">
        <w:rPr>
          <w:szCs w:val="32"/>
        </w:rPr>
        <w:t xml:space="preserve">step-down returns structure introduced by </w:t>
      </w:r>
      <w:r>
        <w:rPr>
          <w:szCs w:val="32"/>
        </w:rPr>
        <w:t>SRI Sukuk Ihsan</w:t>
      </w:r>
      <w:r w:rsidRPr="006F131F">
        <w:rPr>
          <w:szCs w:val="32"/>
        </w:rPr>
        <w:t xml:space="preserve"> is the first of its kind, where </w:t>
      </w:r>
      <w:r w:rsidRPr="006F131F">
        <w:t>the yield will be reduced when KPIs are met</w:t>
      </w:r>
      <w:r>
        <w:t>. This means</w:t>
      </w:r>
      <w:r w:rsidRPr="006F131F">
        <w:t xml:space="preserve"> </w:t>
      </w:r>
      <w:r>
        <w:t>sukukholders</w:t>
      </w:r>
      <w:r w:rsidRPr="006F131F">
        <w:t xml:space="preserve"> will actually earn less if the programme reaches its objectives</w:t>
      </w:r>
      <w:r>
        <w:t xml:space="preserve"> as part of their</w:t>
      </w:r>
      <w:r w:rsidRPr="006F131F">
        <w:t xml:space="preserve"> social obligation in recognising the positive social impact that is generated by the Trust School Programme </w:t>
      </w:r>
      <w:r w:rsidRPr="006F131F">
        <w:fldChar w:fldCharType="begin"/>
      </w:r>
      <w:r w:rsidRPr="006F131F">
        <w:instrText xml:space="preserve"> ADDIN EN.CITE &lt;EndNote&gt;&lt;Cite&gt;&lt;Author&gt;Ghani&lt;/Author&gt;&lt;Year&gt;2015&lt;/Year&gt;&lt;RecNum&gt;339&lt;/RecNum&gt;&lt;DisplayText&gt;(Ghani, 2015)&lt;/DisplayText&gt;&lt;record&gt;&lt;rec-number&gt;339&lt;/rec-number&gt;&lt;foreign-keys&gt;&lt;key app="EN" db-id="s0sspezxpswprxedwfqp9fae9fszzs2dxzta" timestamp="1446712400"&gt;339&lt;/key&gt;&lt;/foreign-keys&gt;&lt;ref-type name="Report"&gt;27&lt;/ref-type&gt;&lt;contributors&gt;&lt;authors&gt;&lt;author&gt;Mohd Izani Ghani&lt;/author&gt;&lt;/authors&gt;&lt;secondary-authors&gt;&lt;author&gt;Thomson Reuters&lt;/author&gt;&lt;/secondary-authors&gt;&lt;/contributors&gt;&lt;titles&gt;&lt;title&gt;The World&amp;apos;s First Ringgit-Denominated SRI Sukuk&lt;/title&gt;&lt;secondary-title&gt;Thomson Reuters - RFI Responsible Finance Report 2015: The emerging convergence of SRI, ESG and Islamic Finance&lt;/secondary-title&gt;&lt;/titles&gt;&lt;keywords&gt;&lt;keyword&gt;SRI&lt;/keyword&gt;&lt;keyword&gt;ESG&lt;/keyword&gt;&lt;keyword&gt;Islamic Finance&lt;/keyword&gt;&lt;/keywords&gt;&lt;dates&gt;&lt;year&gt;2015&lt;/year&gt;&lt;pub-dates&gt;&lt;date&gt;2015&lt;/date&gt;&lt;/pub-dates&gt;&lt;/dates&gt;&lt;publisher&gt;Thomson Reuters&lt;/publisher&gt;&lt;urls&gt;&lt;/urls&gt;&lt;/record&gt;&lt;/Cite&gt;&lt;/EndNote&gt;</w:instrText>
      </w:r>
      <w:r w:rsidRPr="006F131F">
        <w:fldChar w:fldCharType="separate"/>
      </w:r>
      <w:r w:rsidRPr="006F131F">
        <w:rPr>
          <w:noProof/>
        </w:rPr>
        <w:t>(Ghani, 2015)</w:t>
      </w:r>
      <w:r w:rsidRPr="006F131F">
        <w:fldChar w:fldCharType="end"/>
      </w:r>
      <w:r w:rsidRPr="006F131F">
        <w:t xml:space="preserve">. For the first issuance, the </w:t>
      </w:r>
      <w:r>
        <w:rPr>
          <w:rFonts w:eastAsia="Times New Roman"/>
          <w:color w:val="000000"/>
          <w:shd w:val="clear" w:color="auto" w:fill="FFFFFF"/>
        </w:rPr>
        <w:t>SRI sukuk</w:t>
      </w:r>
      <w:r w:rsidRPr="006F131F">
        <w:rPr>
          <w:rFonts w:eastAsia="Times New Roman"/>
          <w:color w:val="000000"/>
          <w:shd w:val="clear" w:color="auto" w:fill="FFFFFF"/>
        </w:rPr>
        <w:t xml:space="preserve"> was priced at a profit rate of 4.3% if the KPI are not met, or 3.5% when KPIs are been fulfilled. While the second tranche of </w:t>
      </w:r>
      <w:r>
        <w:rPr>
          <w:rFonts w:eastAsia="Times New Roman"/>
          <w:color w:val="000000"/>
          <w:shd w:val="clear" w:color="auto" w:fill="FFFFFF"/>
        </w:rPr>
        <w:t>SRI Sukuk Ihsan</w:t>
      </w:r>
      <w:r w:rsidRPr="006F131F">
        <w:rPr>
          <w:rFonts w:eastAsia="Times New Roman"/>
          <w:color w:val="000000"/>
          <w:shd w:val="clear" w:color="auto" w:fill="FFFFFF"/>
        </w:rPr>
        <w:t xml:space="preserve"> was recently priced at a profit rate of 4.6% if the KPIs are not met and 4.2% when KPIs are achieved.</w:t>
      </w:r>
      <w:r w:rsidRPr="006F131F">
        <w:rPr>
          <w:rFonts w:eastAsia="Times New Roman"/>
        </w:rPr>
        <w:t xml:space="preserve"> </w:t>
      </w:r>
    </w:p>
    <w:p w14:paraId="3F5DEB17" w14:textId="38A51728" w:rsidR="00B20F6D" w:rsidRDefault="00B20F6D" w:rsidP="00046B89">
      <w:pPr>
        <w:spacing w:line="240" w:lineRule="auto"/>
      </w:pPr>
      <w:r w:rsidRPr="006F131F">
        <w:t xml:space="preserve">Another feature that is unique to this sukuk is that it allows for the sukukholders to convert their investment in the sukuk into donations by exercising their “option to waive” the capital and proceeds of the sukuk </w:t>
      </w:r>
      <w:r w:rsidRPr="006F131F">
        <w:fldChar w:fldCharType="begin"/>
      </w:r>
      <w:r w:rsidRPr="006F131F">
        <w:instrText xml:space="preserve"> ADDIN EN.CITE &lt;EndNote&gt;&lt;Cite&gt;&lt;Author&gt;CIMB&lt;/Author&gt;&lt;Year&gt;2015&lt;/Year&gt;&lt;RecNum&gt;298&lt;/RecNum&gt;&lt;DisplayText&gt;(CIMB, 2015)&lt;/DisplayText&gt;&lt;record&gt;&lt;rec-number&gt;298&lt;/rec-number&gt;&lt;foreign-keys&gt;&lt;key app="EN" db-id="s0sspezxpswprxedwfqp9fae9fszzs2dxzta" timestamp="1433758642"&gt;298&lt;/key&gt;&lt;/foreign-keys&gt;&lt;ref-type name="Generic"&gt;13&lt;/ref-type&gt;&lt;contributors&gt;&lt;authors&gt;&lt;author&gt;CIMB,&lt;/author&gt;&lt;/authors&gt;&lt;/contributors&gt;&lt;titles&gt;&lt;title&gt;Ihsan Sukuk Berhad: Information Memorandum&lt;/title&gt;&lt;/titles&gt;&lt;keywords&gt;&lt;keyword&gt;CIMB&lt;/keyword&gt;&lt;keyword&gt;Ihsan Sukuk&lt;/keyword&gt;&lt;keyword&gt;SRI sukuk&lt;/keyword&gt;&lt;keyword&gt;Malaysia&lt;/keyword&gt;&lt;keyword&gt;SIB&lt;/keyword&gt;&lt;/keywords&gt;&lt;dates&gt;&lt;year&gt;2015&lt;/year&gt;&lt;/dates&gt;&lt;pub-location&gt;Malaysia&lt;/pub-location&gt;&lt;publisher&gt;CIMB&lt;/publisher&gt;&lt;urls&gt;&lt;/urls&gt;&lt;/record&gt;&lt;/Cite&gt;&lt;/EndNote&gt;</w:instrText>
      </w:r>
      <w:r w:rsidRPr="006F131F">
        <w:fldChar w:fldCharType="separate"/>
      </w:r>
      <w:r w:rsidRPr="006F131F">
        <w:rPr>
          <w:noProof/>
        </w:rPr>
        <w:t>(CIMB, 2015)</w:t>
      </w:r>
      <w:r w:rsidRPr="006F131F">
        <w:fldChar w:fldCharType="end"/>
      </w:r>
      <w:r w:rsidRPr="006F131F">
        <w:t xml:space="preserve">. By doing so, they are entitled to receive tax vouchers for an amount equal to the amount waived or the reduction in the nominal value of their respective sukukholdings </w:t>
      </w:r>
      <w:r w:rsidRPr="006F131F">
        <w:fldChar w:fldCharType="begin"/>
      </w:r>
      <w:r w:rsidRPr="006F131F">
        <w:instrText xml:space="preserve"> ADDIN EN.CITE &lt;EndNote&gt;&lt;Cite&gt;&lt;Author&gt;Ghani&lt;/Author&gt;&lt;Year&gt;2015&lt;/Year&gt;&lt;RecNum&gt;339&lt;/RecNum&gt;&lt;DisplayText&gt;(Ghani, 2015)&lt;/DisplayText&gt;&lt;record&gt;&lt;rec-number&gt;339&lt;/rec-number&gt;&lt;foreign-keys&gt;&lt;key app="EN" db-id="s0sspezxpswprxedwfqp9fae9fszzs2dxzta" timestamp="1446712400"&gt;339&lt;/key&gt;&lt;/foreign-keys&gt;&lt;ref-type name="Report"&gt;27&lt;/ref-type&gt;&lt;contributors&gt;&lt;authors&gt;&lt;author&gt;Mohd Izani Ghani&lt;/author&gt;&lt;/authors&gt;&lt;secondary-authors&gt;&lt;author&gt;Thomson Reuters&lt;/author&gt;&lt;/secondary-authors&gt;&lt;/contributors&gt;&lt;titles&gt;&lt;title&gt;The World&amp;apos;s First Ringgit-Denominated SRI Sukuk&lt;/title&gt;&lt;secondary-title&gt;Thomson Reuters - RFI Responsible Finance Report 2015: The emerging convergence of SRI, ESG and Islamic Finance&lt;/secondary-title&gt;&lt;/titles&gt;&lt;keywords&gt;&lt;keyword&gt;SRI&lt;/keyword&gt;&lt;keyword&gt;ESG&lt;/keyword&gt;&lt;keyword&gt;Islamic Finance&lt;/keyword&gt;&lt;/keywords&gt;&lt;dates&gt;&lt;year&gt;2015&lt;/year&gt;&lt;pub-dates&gt;&lt;date&gt;2015&lt;/date&gt;&lt;/pub-dates&gt;&lt;/dates&gt;&lt;publisher&gt;Thomson Reuters&lt;/publisher&gt;&lt;urls&gt;&lt;/urls&gt;&lt;/record&gt;&lt;/Cite&gt;&lt;/EndNote&gt;</w:instrText>
      </w:r>
      <w:r w:rsidRPr="006F131F">
        <w:fldChar w:fldCharType="separate"/>
      </w:r>
      <w:r w:rsidRPr="006F131F">
        <w:rPr>
          <w:noProof/>
        </w:rPr>
        <w:t>(Ghani, 2015)</w:t>
      </w:r>
      <w:r w:rsidRPr="006F131F">
        <w:fldChar w:fldCharType="end"/>
      </w:r>
      <w:r w:rsidRPr="006F131F">
        <w:t xml:space="preserve">. </w:t>
      </w:r>
    </w:p>
    <w:p w14:paraId="6BBF9DDE" w14:textId="77777777" w:rsidR="009642D3" w:rsidRPr="006F131F" w:rsidRDefault="009642D3" w:rsidP="00046B89">
      <w:pPr>
        <w:spacing w:line="240" w:lineRule="auto"/>
      </w:pPr>
    </w:p>
    <w:p w14:paraId="48844353" w14:textId="77777777" w:rsidR="00B20F6D" w:rsidRPr="00F9581D" w:rsidRDefault="00B20F6D" w:rsidP="00046B89">
      <w:pPr>
        <w:pStyle w:val="Heading2"/>
      </w:pPr>
      <w:bookmarkStart w:id="16" w:name="_Toc491649676"/>
      <w:r w:rsidRPr="00F9581D">
        <w:lastRenderedPageBreak/>
        <w:t>Waqf</w:t>
      </w:r>
      <w:bookmarkEnd w:id="14"/>
      <w:bookmarkEnd w:id="16"/>
      <w:r w:rsidRPr="00F9581D">
        <w:t xml:space="preserve">  </w:t>
      </w:r>
      <w:bookmarkStart w:id="17" w:name="_Toc477156004"/>
    </w:p>
    <w:p w14:paraId="74BD2DDF" w14:textId="01315771" w:rsidR="00B20F6D" w:rsidRPr="00F9581D" w:rsidRDefault="00B20F6D" w:rsidP="00046B89">
      <w:pPr>
        <w:pStyle w:val="NormalWeb"/>
        <w:spacing w:before="0" w:beforeAutospacing="0" w:after="0" w:afterAutospacing="0"/>
        <w:ind w:firstLine="0"/>
        <w:textAlignment w:val="baseline"/>
        <w:rPr>
          <w:color w:val="333333"/>
        </w:rPr>
      </w:pPr>
      <w:r w:rsidRPr="00381F2E">
        <w:rPr>
          <w:color w:val="333333"/>
        </w:rPr>
        <w:t>Waqf,</w:t>
      </w:r>
      <w:r w:rsidRPr="006F131F">
        <w:rPr>
          <w:color w:val="333333"/>
        </w:rPr>
        <w:t xml:space="preserve"> in the Arabic language, literally means to stop, contain or preserve</w:t>
      </w:r>
      <w:r>
        <w:rPr>
          <w:color w:val="333333"/>
        </w:rPr>
        <w:t xml:space="preserve">. </w:t>
      </w:r>
      <w:r>
        <w:t>Conceptually, w</w:t>
      </w:r>
      <w:r w:rsidRPr="006F131F">
        <w:t xml:space="preserve">aqf refers to charitable endowments. It is a </w:t>
      </w:r>
      <w:r w:rsidRPr="006F131F">
        <w:rPr>
          <w:color w:val="333333"/>
        </w:rPr>
        <w:t>voluntary and irrevocable dedication of one's wealth, either in cash or kind, and its disbursement is dedicated for Shari’ah compliant projects that are beneficial</w:t>
      </w:r>
      <w:r>
        <w:rPr>
          <w:color w:val="333333"/>
        </w:rPr>
        <w:t xml:space="preserve"> </w:t>
      </w:r>
      <w:r>
        <w:rPr>
          <w:color w:val="333333"/>
        </w:rPr>
        <w:fldChar w:fldCharType="begin" w:fldLock="1"/>
      </w:r>
      <w:r>
        <w:rPr>
          <w:color w:val="333333"/>
        </w:rPr>
        <w:instrText>ADDIN CSL_CITATION { "citationItems" : [ { "id" : "ITEM-1", "itemData" : { "author" : [ { "dropping-particle" : "", "family" : "Elasrag", "given" : "Hussein", "non-dropping-particle" : "", "parse-names" : false, "suffix" : "" } ], "id" : "ITEM-1", "issued" : { "date-parts" : [ [ "2017" ] ] }, "title" : "Towards A New Role of the Institution of Waqf", "type" : "article" }, "uris" : [ "http://www.mendeley.com/documents/?uuid=affd7496-6125-3fd9-bc47-e96f2bdf7c1a" ] } ], "mendeley" : { "formattedCitation" : "(Elasrag, 2017)", "plainTextFormattedCitation" : "(Elasrag, 2017)", "previouslyFormattedCitation" : "(Elasrag, 2017)" }, "properties" : { "noteIndex" : 0 }, "schema" : "https://github.com/citation-style-language/schema/raw/master/csl-citation.json" }</w:instrText>
      </w:r>
      <w:r>
        <w:rPr>
          <w:color w:val="333333"/>
        </w:rPr>
        <w:fldChar w:fldCharType="separate"/>
      </w:r>
      <w:r w:rsidRPr="0084455B">
        <w:rPr>
          <w:noProof/>
          <w:color w:val="333333"/>
        </w:rPr>
        <w:t>(Elasrag, 2017)</w:t>
      </w:r>
      <w:r>
        <w:rPr>
          <w:color w:val="333333"/>
        </w:rPr>
        <w:fldChar w:fldCharType="end"/>
      </w:r>
      <w:r w:rsidRPr="006F131F">
        <w:rPr>
          <w:color w:val="333333"/>
        </w:rPr>
        <w:t xml:space="preserve">. </w:t>
      </w:r>
      <w:r w:rsidRPr="006F131F">
        <w:t>It transfers wealth and changes property rights from private to public.</w:t>
      </w:r>
      <w:r w:rsidR="00F9581D">
        <w:t xml:space="preserve"> </w:t>
      </w:r>
      <w:r w:rsidRPr="008D1A8E">
        <w:rPr>
          <w:color w:val="000000" w:themeColor="text1"/>
        </w:rPr>
        <w:t xml:space="preserve">In Malaysia, </w:t>
      </w:r>
      <w:r>
        <w:rPr>
          <w:color w:val="000000" w:themeColor="text1"/>
        </w:rPr>
        <w:t>waqf</w:t>
      </w:r>
      <w:r w:rsidRPr="008D1A8E">
        <w:rPr>
          <w:color w:val="000000" w:themeColor="text1"/>
        </w:rPr>
        <w:t xml:space="preserve"> </w:t>
      </w:r>
      <w:r>
        <w:rPr>
          <w:color w:val="000000" w:themeColor="text1"/>
        </w:rPr>
        <w:t>is</w:t>
      </w:r>
      <w:r w:rsidRPr="008D1A8E">
        <w:rPr>
          <w:color w:val="000000" w:themeColor="text1"/>
        </w:rPr>
        <w:t xml:space="preserve"> administered by the respective State Islamic Religious Council</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"ISBN" : "9789673942305", "author" : [ { "dropping-particle" : "", "family" : "Siti Asishah", "given" : "Hassan", "non-dropping-particle" : "", "parse-names" : false, "suffix" : "" }, { "dropping-particle" : "", "family" : "Rusnadewi", "given" : "Abdul Rashid", "non-dropping-particle" : "", "parse-names" : false, "suffix" : "" } ], "id" : "ITEM-1", "issue" : "December", "issued" : { "date-parts" : [ [ "2015" ] ] }, "title" : "Towards Improvement of the Rights and Duties of Mutawalli and Nazir in the Management and Administration of Waqf Assets", "type" : "article-journal" }, "uris" : [ "http://www.mendeley.com/documents/?uuid=1fb14070-f52b-4085-9ff5-568318766186" ] } ], "mendeley" : { "formattedCitation" : "(Siti Asishah &amp; Rusnadewi, 2015)", "plainTextFormattedCitation" : "(Siti Asishah &amp; Rusnadewi, 2015)", "previouslyFormattedCitation" : "(Siti Asishah &amp; Rusnadewi, 2015)" }, "properties" : { "noteIndex" : 0 }, "schema" : "https://github.com/citation-style-language/schema/raw/master/csl-citation.json" }</w:instrText>
      </w:r>
      <w:r>
        <w:rPr>
          <w:color w:val="000000" w:themeColor="text1"/>
        </w:rPr>
        <w:fldChar w:fldCharType="separate"/>
      </w:r>
      <w:r w:rsidRPr="004D1D70">
        <w:rPr>
          <w:noProof/>
          <w:color w:val="000000" w:themeColor="text1"/>
        </w:rPr>
        <w:t>(Siti Asishah &amp; Rusnadewi, 2015)</w:t>
      </w:r>
      <w:r>
        <w:rPr>
          <w:color w:val="000000" w:themeColor="text1"/>
        </w:rPr>
        <w:fldChar w:fldCharType="end"/>
      </w:r>
      <w:r>
        <w:rPr>
          <w:rStyle w:val="Emphasis"/>
          <w:bCs/>
          <w:color w:val="000000" w:themeColor="text1"/>
        </w:rPr>
        <w:t>.</w:t>
      </w:r>
      <w:r w:rsidRPr="008D1A8E">
        <w:rPr>
          <w:color w:val="000000" w:themeColor="text1"/>
        </w:rPr>
        <w:t xml:space="preserve"> </w:t>
      </w:r>
    </w:p>
    <w:bookmarkEnd w:id="17"/>
    <w:p w14:paraId="42FA9246" w14:textId="77777777" w:rsidR="00B20F6D" w:rsidRDefault="00B20F6D" w:rsidP="00046B89">
      <w:pPr>
        <w:pStyle w:val="NormalWeb"/>
        <w:spacing w:before="0" w:beforeAutospacing="0" w:after="0" w:afterAutospacing="0"/>
      </w:pPr>
    </w:p>
    <w:p w14:paraId="21CA53C9" w14:textId="77777777" w:rsidR="00B20F6D" w:rsidRDefault="00B20F6D" w:rsidP="00046B89">
      <w:pPr>
        <w:pStyle w:val="NormalWeb"/>
        <w:spacing w:before="0" w:beforeAutospacing="0" w:after="0" w:afterAutospacing="0"/>
        <w:ind w:firstLine="0"/>
      </w:pPr>
      <w:r w:rsidRPr="006F131F">
        <w:t xml:space="preserve">Waqf has a great potential to be a tool for social welfare and economic development via various humanitarian projects such in the area of healthcare, education and training facilities for the society. This is why, according to </w:t>
      </w:r>
      <w:r w:rsidRPr="006F131F">
        <w:fldChar w:fldCharType="begin" w:fldLock="1"/>
      </w:r>
      <w:r w:rsidRPr="006F131F">
        <w:instrText>ADDIN CSL_CITATION { "citationItems" : [ { "id" : "ITEM-1", "itemData" : { "abstract" : "Objektif kajian ini ialah untuk mengkaji mekanisma pembiayaan yang ideal dalam pembangunan harta tanah wakaf di Malaysia. Masalah yang timbul ialah harta tanah wakaf dianggap tidak boleh dipindah milik kerana ia mesti kekal sebaai wakaf secara berkekalan. Ini menyebabkan institusi wakaf tidak dapat menggunakan harta tanah ini sebagai sandaran kerana dikhuatiri harta tanah ini jatuh ke tangan pihak pembiaya. Pihak pembiaya pula tidak bersedia untuk menerima harta tanah wakaf sebagai sandaran kerana sifatnya yang berkonsepkan ketidakboleh pihdah milikan dan keberkekalan.", "author" : [ { "dropping-particle" : "", "family" : "Tahir", "given" : "Mohammad", "non-dropping-particle" : "", "parse-names" : false, "suffix" : "" }, { "dropping-particle" : "", "family" : "Abdul Hamid", "given" : "Mar Iman", "non-dropping-particle" : "", "parse-names" : false, "suffix" : "" }, { "dropping-particle" : "", "family" : "Ismail", "given" : "Omar", "non-dropping-particle" : "", "parse-names" : false, "suffix" : "" } ], "id" : "ITEM-1", "issued" : { "date-parts" : [ [ "2005" ] ] }, "page" : "1-168", "title" : "An Ideal Financial Mechanism for the Development of the Waqf Properties in Malaysia", "type" : "article-journal" }, "uris" : [ "http://www.mendeley.com/documents/?uuid=855e74fc-520e-428f-97d1-6438cb493110" ] } ], "mendeley" : { "formattedCitation" : "(Tahir, Abdul Hamid, &amp; Ismail, 2005)", "manualFormatting" : "Tahir, Abdul Hamid &amp; Ismail (2005)", "plainTextFormattedCitation" : "(Tahir, Abdul Hamid, &amp; Ismail, 2005)", "previouslyFormattedCitation" : "(Tahir, Abdul Hamid, &amp; Ismail, 2005)" }, "properties" : { "noteIndex" : 0 }, "schema" : "https://github.com/citation-style-language/schema/raw/master/csl-citation.json" }</w:instrText>
      </w:r>
      <w:r w:rsidRPr="006F131F">
        <w:fldChar w:fldCharType="separate"/>
      </w:r>
      <w:r w:rsidRPr="006F131F">
        <w:rPr>
          <w:noProof/>
        </w:rPr>
        <w:t>Tahir, Abdul Hamid &amp; Ismail (2005)</w:t>
      </w:r>
      <w:r w:rsidRPr="006F131F">
        <w:fldChar w:fldCharType="end"/>
      </w:r>
      <w:r w:rsidRPr="006F131F">
        <w:t>, for the in</w:t>
      </w:r>
      <w:r>
        <w:t>terest of the beneficiaries of w</w:t>
      </w:r>
      <w:r w:rsidRPr="006F131F">
        <w:t>aqf properties</w:t>
      </w:r>
      <w:r>
        <w:t xml:space="preserve"> and assets</w:t>
      </w:r>
      <w:r w:rsidRPr="006F131F">
        <w:t>, the need for the existence of alternative financial mechanism is critical. The more the financial instruments there are, the more are the</w:t>
      </w:r>
      <w:r>
        <w:t xml:space="preserve"> chances of development of the w</w:t>
      </w:r>
      <w:r w:rsidRPr="006F131F">
        <w:t xml:space="preserve">aqf. </w:t>
      </w:r>
    </w:p>
    <w:p w14:paraId="69FCFD04" w14:textId="77777777" w:rsidR="00B20F6D" w:rsidRPr="006F131F" w:rsidRDefault="00B20F6D" w:rsidP="00046B89">
      <w:pPr>
        <w:pStyle w:val="NormalWeb"/>
        <w:spacing w:before="0" w:beforeAutospacing="0" w:after="0" w:afterAutospacing="0"/>
      </w:pPr>
    </w:p>
    <w:p w14:paraId="3DB90C9C" w14:textId="5E149597" w:rsidR="00B20F6D" w:rsidRPr="00F9581D" w:rsidRDefault="00B20F6D" w:rsidP="00046B89">
      <w:pPr>
        <w:spacing w:line="240" w:lineRule="auto"/>
      </w:pPr>
      <w:r w:rsidRPr="006F131F">
        <w:t>Waqf can also be utilised as effective tools</w:t>
      </w:r>
      <w:r>
        <w:t xml:space="preserve"> of wealth management. As most w</w:t>
      </w:r>
      <w:r w:rsidRPr="006F131F">
        <w:t>aqf are in the form</w:t>
      </w:r>
      <w:r>
        <w:t xml:space="preserve"> of real estate, yet underutilis</w:t>
      </w:r>
      <w:r w:rsidRPr="006F131F">
        <w:t>ed, there is a pressing need to develop these assets. Atte</w:t>
      </w:r>
      <w:r>
        <w:t>mpts should be made to upgrade w</w:t>
      </w:r>
      <w:r w:rsidRPr="006F131F">
        <w:t>aqf to a level where they become a sustainable source of funding and are able to generate income on their own, thereby decreasing dependency on third-party donations (Lahsasna, 2013)</w:t>
      </w:r>
      <w:r>
        <w:t>. As w</w:t>
      </w:r>
      <w:r w:rsidRPr="006F131F">
        <w:t xml:space="preserve">aqf is to continue till no more economic benefit can be taken from the asset, an investment product </w:t>
      </w:r>
      <w:r>
        <w:t xml:space="preserve">or mechanism </w:t>
      </w:r>
      <w:r w:rsidRPr="006F131F">
        <w:t>should be structured for perpetuity. What is most important is to preserve the capital. Immediate disbursement is not necessary as there is alread</w:t>
      </w:r>
      <w:r>
        <w:t>y the charitable instrument of z</w:t>
      </w:r>
      <w:r w:rsidRPr="006F131F">
        <w:t xml:space="preserve">akat for that </w:t>
      </w:r>
      <w:r w:rsidRPr="006F131F">
        <w:fldChar w:fldCharType="begin" w:fldLock="1"/>
      </w:r>
      <w:r w:rsidRPr="006F131F">
        <w:instrText>ADDIN CSL_CITATION { "citationItems" : [ { "id" : "ITEM-1", "itemData" : { "abstract" : "Poverty alleviation has always been one of the top agendas in Malaysia. On Friday, October 7th 2011, the Prime Minister of Malaysia presented the 2012 national budget to the cabinet. Set to make a difference in the next year, the budget focuses on the poverty alleviation and social welfare. For that, the government has allocated RM2.6 billion for its Social Safety Net program called \u201cBantuan Rakyat 1 Malaysia\u201d that aims to improve the quality of life of the nation. This paper is thus written to offer possible alternative (theoretically at least) to solve the social problem of poverty. Cash waqf will specifically be analyzed in this paper as an alternative instrument that can overall improve the social welfare and reduce the poverty rate and at the same time, lessen the burden of the government. The paper is constructed by reviewing some current journals, government reports and other publications that revolve around the matter. In order to analyze the potential of cash waqf model in the dynamic system, the study is conducted using system dynamics methodology. The feedback nature of the whole system can be modeled and figures can be derived from the computer simulation. The simulated results seem to be promising as they show significant result in alleviating poverty by up to 50%. Apart from that, the amount that government can save is substantially significant to be be discarded. Total savings can go over RM13 billion or an average of RM433 million a year over 30 years. Given the findings, the government can take into account the potential of cash waqf in formulating future policies. On top of that, the findings could prompt more research to be done in this particular area using the system dynamics methodology as it is believed that there are still a lot more that can be explored in this research field.", "author" : [ { "dropping-particle" : "", "family" : "Mohd Marzuki", "given" : "Mohd Umar", "non-dropping-particle" : "", "parse-names" : false, "suffix" : "" }, { "dropping-particle" : "", "family" : "Shahimi", "given" : "Shahida", "non-dropping-particle" : "", "parse-names" : false, "suffix" : "" }, { "dropping-particle" : "", "family" : "Ismail", "given" : "Abdul Ghafar", "non-dropping-particle" : "", "parse-names" : false, "suffix" : "" }, { "dropping-particle" : "", "family" : "Embong", "given" : "Zaini", "non-dropping-particle" : "", "parse-names" : false, "suffix" : "" } ], "container-title" : "Prosiding Perkem Vii", "id" : "ITEM-1", "issued" : { "date-parts" : [ [ "2012" ] ] }, "page" : "1611-1623", "title" : "Tackling Poverty : A Look At Cash Waqf", "type" : "article-journal", "volume" : "2" }, "uris" : [ "http://www.mendeley.com/documents/?uuid=2e24a700-e8bc-4d46-92cb-e7e34f508df5" ] } ], "mendeley" : { "formattedCitation" : "(Mohd Marzuki, Shahimi, Ismail, &amp; Embong, 2012)", "manualFormatting" : "(Mohd Marzuki et al., 2012)", "plainTextFormattedCitation" : "(Mohd Marzuki, Shahimi, Ismail, &amp; Embong, 2012)", "previouslyFormattedCitation" : "(Mohd Marzuki, Shahimi, Ismail, &amp; Embong, 2012)" }, "properties" : { "noteIndex" : 0 }, "schema" : "https://github.com/citation-style-language/schema/raw/master/csl-citation.json" }</w:instrText>
      </w:r>
      <w:r w:rsidRPr="006F131F">
        <w:fldChar w:fldCharType="separate"/>
      </w:r>
      <w:r w:rsidRPr="006F131F">
        <w:rPr>
          <w:noProof/>
        </w:rPr>
        <w:t>(Mohd Marzuki et al., 2012)</w:t>
      </w:r>
      <w:r w:rsidRPr="006F131F">
        <w:fldChar w:fldCharType="end"/>
      </w:r>
      <w:r w:rsidRPr="006F131F">
        <w:t>.</w:t>
      </w:r>
    </w:p>
    <w:p w14:paraId="61E07C2E" w14:textId="462299A8" w:rsidR="00B20F6D" w:rsidRPr="006F131F" w:rsidRDefault="00B20F6D" w:rsidP="00046B89">
      <w:pPr>
        <w:widowControl w:val="0"/>
        <w:autoSpaceDE w:val="0"/>
        <w:autoSpaceDN w:val="0"/>
        <w:adjustRightInd w:val="0"/>
        <w:spacing w:line="240" w:lineRule="auto"/>
      </w:pPr>
      <w:r w:rsidRPr="006F131F">
        <w:t xml:space="preserve">According to </w:t>
      </w:r>
      <w:r w:rsidRPr="006F131F">
        <w:fldChar w:fldCharType="begin" w:fldLock="1"/>
      </w:r>
      <w:r w:rsidRPr="006F131F">
        <w:instrText>ADDIN CSL_CITATION { "citationItems" : [ { "id" : "ITEM-1", "itemData" : { "DOI" : "10.13140/RG.2.2.11520.84483", "author" : [ { "dropping-particle" : "", "family" : "Anwar", "given" : "Allah Pitchay", "non-dropping-particle" : "", "parse-names" : false, "suffix" : "" }, { "dropping-particle" : "", "family" : "Mohamad I'sa", "given" : "Abd Jalil", "non-dropping-particle" : "", "parse-names" : false, "suffix" : "" } ], "container-title" : "Proceedings of the Muktamar Waqf Iqlimi III (IQLIMI 2016)", "id" : "ITEM-1", "issue" : "October", "issued" : { "date-parts" : [ [ "2016" ] ] }, "page" : "13-14", "title" : "The constraints of Malaysian mutawalli in developing idle waqf lands", "type" : "article-journal", "volume" : "2016" }, "uris" : [ "http://www.mendeley.com/documents/?uuid=6bcf91a5-c802-4bdc-ab1e-c0dda74aa99f" ] } ], "mendeley" : { "formattedCitation" : "(Anwar &amp; Mohamad I\u2019sa, 2016)", "manualFormatting" : "Anwar &amp; Mohamad I\u2019sa (2016)", "plainTextFormattedCitation" : "(Anwar &amp; Mohamad I\u2019sa, 2016)", "previouslyFormattedCitation" : "(Anwar &amp; Mohamad I\u2019sa, 2016)" }, "properties" : { "noteIndex" : 0 }, "schema" : "https://github.com/citation-style-language/schema/raw/master/csl-citation.json" }</w:instrText>
      </w:r>
      <w:r w:rsidRPr="006F131F">
        <w:fldChar w:fldCharType="separate"/>
      </w:r>
      <w:r w:rsidRPr="006F131F">
        <w:rPr>
          <w:noProof/>
        </w:rPr>
        <w:t>Anwar &amp; Mohamad I’sa (2016)</w:t>
      </w:r>
      <w:r w:rsidRPr="006F131F">
        <w:fldChar w:fldCharType="end"/>
      </w:r>
      <w:r w:rsidRPr="006F131F">
        <w:t>, most of the Muslim and Muslim minority countries presently are moving towar</w:t>
      </w:r>
      <w:r>
        <w:t>ds promoting cash as a form of w</w:t>
      </w:r>
      <w:r w:rsidRPr="006F131F">
        <w:t>aqf. According to his findings</w:t>
      </w:r>
      <w:r>
        <w:t xml:space="preserve"> from interviewing w</w:t>
      </w:r>
      <w:r w:rsidRPr="006F131F">
        <w:t>aqf officers and researchers in Malaysia, they believe</w:t>
      </w:r>
      <w:r>
        <w:t xml:space="preserve"> that cash w</w:t>
      </w:r>
      <w:r w:rsidRPr="006F131F">
        <w:t>aqf can be the capit</w:t>
      </w:r>
      <w:r>
        <w:t>al for the development of idle w</w:t>
      </w:r>
      <w:r w:rsidRPr="006F131F">
        <w:t>aqf land. However,</w:t>
      </w:r>
      <w:r w:rsidRPr="006F131F">
        <w:rPr>
          <w:color w:val="000000" w:themeColor="text1"/>
        </w:rPr>
        <w:t xml:space="preserve"> a large number of</w:t>
      </w:r>
      <w:r>
        <w:t xml:space="preserve"> w</w:t>
      </w:r>
      <w:r w:rsidRPr="006F131F">
        <w:t xml:space="preserve">aqf trustees (Mutawalis) are not well trained in property and financial management </w:t>
      </w:r>
      <w:r w:rsidRPr="006F131F">
        <w:fldChar w:fldCharType="begin" w:fldLock="1"/>
      </w:r>
      <w:r w:rsidRPr="006F131F">
        <w:instrText>ADDIN CSL_CITATION { "citationItems" : [ { "id" : "ITEM-1", "itemData" : { "abstract" : "Objektif kajian ini ialah untuk mengkaji mekanisma pembiayaan yang ideal dalam pembangunan harta tanah wakaf di Malaysia. Masalah yang timbul ialah harta tanah wakaf dianggap tidak boleh dipindah milik kerana ia mesti kekal sebaai wakaf secara berkekalan. Ini menyebabkan institusi wakaf tidak dapat menggunakan harta tanah ini sebagai sandaran kerana dikhuatiri harta tanah ini jatuh ke tangan pihak pembiaya. Pihak pembiaya pula tidak bersedia untuk menerima harta tanah wakaf sebagai sandaran kerana sifatnya yang berkonsepkan ketidakboleh pihdah milikan dan keberkekalan.", "author" : [ { "dropping-particle" : "", "family" : "Tahir", "given" : "Mohammad", "non-dropping-particle" : "", "parse-names" : false, "suffix" : "" }, { "dropping-particle" : "", "family" : "Abdul Hamid", "given" : "Mar Iman", "non-dropping-particle" : "", "parse-names" : false, "suffix" : "" }, { "dropping-particle" : "", "family" : "Ismail", "given" : "Omar", "non-dropping-particle" : "", "parse-names" : false, "suffix" : "" } ], "id" : "ITEM-1", "issued" : { "date-parts" : [ [ "2005" ] ] }, "page" : "1-168", "title" : "An Ideal Financial Mechanism for the Development of the Waqf Properties in Malaysia", "type" : "article-journal" }, "uris" : [ "http://www.mendeley.com/documents/?uuid=855e74fc-520e-428f-97d1-6438cb493110" ] } ], "mendeley" : { "formattedCitation" : "(Tahir et al., 2005)", "plainTextFormattedCitation" : "(Tahir et al., 2005)", "previouslyFormattedCitation" : "(Tahir et al., 2005)" }, "properties" : { "noteIndex" : 0 }, "schema" : "https://github.com/citation-style-language/schema/raw/master/csl-citation.json" }</w:instrText>
      </w:r>
      <w:r w:rsidRPr="006F131F">
        <w:fldChar w:fldCharType="separate"/>
      </w:r>
      <w:r w:rsidRPr="006F131F">
        <w:rPr>
          <w:noProof/>
        </w:rPr>
        <w:t>(Tahir et al., 2005)</w:t>
      </w:r>
      <w:r w:rsidRPr="006F131F">
        <w:fldChar w:fldCharType="end"/>
      </w:r>
      <w:r w:rsidRPr="006F131F">
        <w:t>. This calls for help from the experts in the Islamic financial sector to help manage and offer innovative financial tools</w:t>
      </w:r>
      <w:r>
        <w:t xml:space="preserve"> like SRI sukuk</w:t>
      </w:r>
      <w:r w:rsidRPr="006F131F">
        <w:t>.</w:t>
      </w:r>
    </w:p>
    <w:p w14:paraId="7B127514" w14:textId="13F2C166" w:rsidR="00B20F6D" w:rsidRDefault="00B20F6D" w:rsidP="00046B89">
      <w:pPr>
        <w:widowControl w:val="0"/>
        <w:autoSpaceDE w:val="0"/>
        <w:autoSpaceDN w:val="0"/>
        <w:adjustRightInd w:val="0"/>
        <w:spacing w:line="240" w:lineRule="auto"/>
      </w:pPr>
      <w:r w:rsidRPr="00266E81">
        <w:fldChar w:fldCharType="begin" w:fldLock="1"/>
      </w:r>
      <w:r>
        <w:instrText>ADDIN CSL_CITATION { "citationItems" : [ { "id" : "ITEM-1", "itemData" : { "author" : [ { "dropping-particle" : "", "family" : "Magda", "given" : "Ismail Abdel Mohsin;", "non-dropping-particle" : "", "parse-names" : false, "suffix" : "" }, { "dropping-particle" : "", "family" : "Dafterdar", "given" : "Hisham;", "non-dropping-particle" : "", "parse-names" : false, "suffix" : "" }, { "dropping-particle" : "", "family" : "Cizakca", "given" : "Murat;", "non-dropping-particle" : "", "parse-names" : false, "suffix" : "" }, { "dropping-particle" : "", "family" : "Syed Othman", "given" : "Alhabshi;", "non-dropping-particle" : "", "parse-names" : false, "suffix" : "" }, { "dropping-particle" : "", "family" : "Shaikh Hamzah", "given" : "Abdul Razak;", "non-dropping-particle" : "", "parse-names" : false, "suffix" : "" }, { "dropping-particle" : "", "family" : "Seyed Kazem", "given" : "Sadr;", "non-dropping-particle" : "", "parse-names" : false, "suffix" : "" }, { "dropping-particle" : "", "family" : "Anwar", "given" : "Thamina;", "non-dropping-particle" : "", "parse-names" : false, "suffix" : "" }, { "dropping-particle" : "", "family" : "Obaidullah", "given" : "Mohammed", "non-dropping-particle" : "", "parse-names" : false, "suffix" : "" } ], "id" : "ITEM-1", "issued" : { "date-parts" : [ [ "2016" ] ] }, "publisher" : "Palgrave Macmillan US", "publisher-place" : "Kuala Lumpur", "title" : "Financing the Development of Old Waqf Properties: Classical Principles and Innovative Practices around the World", "type" : "book" }, "uris" : [ "http://www.mendeley.com/documents/?uuid=db01f3fb-638a-49a9-bddf-e3fb4fe9fd80" ] } ], "mendeley" : { "formattedCitation" : "(Magda et al., 2016)", "manualFormatting" : "Magda et al. (2016)", "plainTextFormattedCitation" : "(Magda et al., 2016)", "previouslyFormattedCitation" : "(Magda et al., 2016)" }, "properties" : { "noteIndex" : 0 }, "schema" : "https://github.com/citation-style-language/schema/raw/master/csl-citation.json" }</w:instrText>
      </w:r>
      <w:r w:rsidRPr="00266E81">
        <w:fldChar w:fldCharType="separate"/>
      </w:r>
      <w:r>
        <w:rPr>
          <w:noProof/>
        </w:rPr>
        <w:t>Magda et al. (</w:t>
      </w:r>
      <w:r w:rsidRPr="00266E81">
        <w:rPr>
          <w:noProof/>
        </w:rPr>
        <w:t>2016)</w:t>
      </w:r>
      <w:r w:rsidRPr="00266E81">
        <w:fldChar w:fldCharType="end"/>
      </w:r>
      <w:r>
        <w:t xml:space="preserve"> had studied cases of w</w:t>
      </w:r>
      <w:r w:rsidRPr="00742AC4">
        <w:t xml:space="preserve">aqf development around the world including 25 cases from Malaysia. The modes of financing used in Malaysia are joint venture, </w:t>
      </w:r>
      <w:r w:rsidR="00065C38">
        <w:t>Musharakah</w:t>
      </w:r>
      <w:r w:rsidRPr="00742AC4">
        <w:t xml:space="preserve"> (leasing), donations, internal funds, wakalah (agency), musharakah (partnership), waqf share, corporate waqf, state and federal funds. None has ever used </w:t>
      </w:r>
      <w:r>
        <w:t>SRI sukuk</w:t>
      </w:r>
      <w:r w:rsidRPr="00742AC4">
        <w:t xml:space="preserve">. </w:t>
      </w:r>
      <w:r w:rsidRPr="00742AC4">
        <w:rPr>
          <w:color w:val="000000" w:themeColor="text1"/>
        </w:rPr>
        <w:t xml:space="preserve">One of the closest sukuk model was issued for </w:t>
      </w:r>
      <w:r>
        <w:rPr>
          <w:color w:val="000000" w:themeColor="text1"/>
        </w:rPr>
        <w:t>the development of w</w:t>
      </w:r>
      <w:r w:rsidRPr="00742AC4">
        <w:rPr>
          <w:color w:val="000000" w:themeColor="text1"/>
        </w:rPr>
        <w:t xml:space="preserve">aqf was in Singapore, also known as the Bencoolen Waqf project. It is the first </w:t>
      </w:r>
      <w:r>
        <w:rPr>
          <w:color w:val="000000" w:themeColor="text1"/>
        </w:rPr>
        <w:t>fundraising project to renew a w</w:t>
      </w:r>
      <w:r w:rsidRPr="00742AC4">
        <w:rPr>
          <w:color w:val="000000" w:themeColor="text1"/>
        </w:rPr>
        <w:t xml:space="preserve">aqf property in Singapore via an issuance of Sukuk Musharakah by Majlis Ugama Islam Singapore (MUIS), which will be discussed in detail in the </w:t>
      </w:r>
      <w:r>
        <w:rPr>
          <w:color w:val="000000" w:themeColor="text1"/>
        </w:rPr>
        <w:t>section 2.3.3</w:t>
      </w:r>
      <w:r w:rsidRPr="00742AC4">
        <w:rPr>
          <w:color w:val="000000" w:themeColor="text1"/>
        </w:rPr>
        <w:t xml:space="preserve">. </w:t>
      </w:r>
      <w:r>
        <w:rPr>
          <w:color w:val="000000" w:themeColor="text1"/>
        </w:rPr>
        <w:t xml:space="preserve">On top of that, a Sukuk Intifa’ issued for the development of Zam Zam Tower on a waqf land in Saudi Arabia, which will be discussed in section 2.3.4. </w:t>
      </w:r>
      <w:r w:rsidRPr="00742AC4">
        <w:t xml:space="preserve">Meanwhile in Indonesia, </w:t>
      </w:r>
      <w:r w:rsidRPr="00742AC4">
        <w:fldChar w:fldCharType="begin" w:fldLock="1"/>
      </w:r>
      <w:r w:rsidRPr="00742AC4">
        <w:instrText>ADDIN CSL_CITATION { "citationItems" : [ { "id" : "ITEM-1", "itemData" : { "author" : [ { "dropping-particle" : "", "family" : "Ismal", "given" : "Rifki Ismal Rifki", "non-dropping-particle" : "", "parse-names" : false, "suffix" : "" }, { "dropping-particle" : "", "family" : "Muljawan", "given" : "Dadang", "non-dropping-particle" : "", "parse-names" : false, "suffix" : "" }, { "dropping-particle" : "", "family" : "Chalid", "given" : "Mega Ramadhanty", "non-dropping-particle" : "", "parse-names" : false, "suffix" : "" }, { "dropping-particle" : "", "family" : "Muljawan", "given" : "Dadang", "non-dropping-particle" : "", "parse-names" : false, "suffix" : "" }, { "dropping-particle" : "", "family" : "Chalid", "given" : "Mega Ramadhanty", "non-dropping-particle" : "", "parse-names" : false, "suffix" : "" }, { "dropping-particle" : "", "family" : "Sastrosuwito", "given" : "Jhordy Kashoogie Suminto", "non-dropping-particle" : "", "parse-names" : false, "suffix" : "" }, { "dropping-particle" : "", "family" : "Sastrosuwito", "given" : "Jhordy Kashoogie Suminto", "non-dropping-particle" : "", "parse-names" : false, "suffix" : "" } ], "id" : "ITEM-1", "issued" : { "date-parts" : [ [ "2015" ] ] }, "title" : "Occasional Paper Awqaf Linked Sukuk To Support the Economic Development Awqaf Linked Sukuk To Support the Economic Development", "type" : "report" }, "uris" : [ "http://www.mendeley.com/documents/?uuid=c01170b6-812b-4785-8205-a6294db845d5" ] } ], "mendeley" : { "formattedCitation" : "(Ismal et al., 2015)", "manualFormatting" : "Ismal et al. (2015)", "plainTextFormattedCitation" : "(Ismal et al., 2015)", "previouslyFormattedCitation" : "(Ismal et al., 2015)" }, "properties" : { "noteIndex" : 0 }, "schema" : "https://github.com/citation-style-language/schema/raw/master/csl-citation.json" }</w:instrText>
      </w:r>
      <w:r w:rsidRPr="00742AC4">
        <w:fldChar w:fldCharType="separate"/>
      </w:r>
      <w:r w:rsidRPr="00742AC4">
        <w:rPr>
          <w:noProof/>
        </w:rPr>
        <w:t>Ismal et al. (2015)</w:t>
      </w:r>
      <w:r w:rsidRPr="00742AC4">
        <w:fldChar w:fldCharType="end"/>
      </w:r>
      <w:r w:rsidRPr="00742AC4">
        <w:t xml:space="preserve"> explores the potential issuanc</w:t>
      </w:r>
      <w:r>
        <w:t>e of sovereign sukuk linked to w</w:t>
      </w:r>
      <w:r w:rsidRPr="00742AC4">
        <w:t>aqf assets for the development of massive local waqf that are underdeveloped</w:t>
      </w:r>
      <w:r>
        <w:t xml:space="preserve"> or as an underlying asset of financing in a sukuk orignations</w:t>
      </w:r>
      <w:r w:rsidRPr="00742AC4">
        <w:t xml:space="preserve">.  </w:t>
      </w:r>
      <w:r w:rsidRPr="00742AC4">
        <w:rPr>
          <w:lang w:val="en-US"/>
        </w:rPr>
        <w:t xml:space="preserve">The waqf-linked sukuk </w:t>
      </w:r>
      <w:r>
        <w:rPr>
          <w:lang w:val="en-US"/>
        </w:rPr>
        <w:t xml:space="preserve">issuance is intended </w:t>
      </w:r>
      <w:r w:rsidRPr="00742AC4">
        <w:rPr>
          <w:lang w:val="en-US"/>
        </w:rPr>
        <w:t>for re</w:t>
      </w:r>
      <w:r>
        <w:rPr>
          <w:lang w:val="en-US"/>
        </w:rPr>
        <w:t xml:space="preserve">al economic sector development, just like a project-based sukuk. </w:t>
      </w:r>
      <w:r w:rsidRPr="00742AC4">
        <w:t>Depending on the investors’ preference, t</w:t>
      </w:r>
      <w:r>
        <w:t xml:space="preserve">he sukuk </w:t>
      </w:r>
      <w:r w:rsidRPr="00742AC4">
        <w:t>can be fine-tuned to serve both commercial and social purposes</w:t>
      </w:r>
      <w:r>
        <w:t>.</w:t>
      </w:r>
      <w:r w:rsidRPr="00742AC4">
        <w:t xml:space="preserve"> </w:t>
      </w:r>
    </w:p>
    <w:p w14:paraId="3B6F6D3B" w14:textId="552CE5D0" w:rsidR="00B20F6D" w:rsidRPr="00B20F6D" w:rsidRDefault="00B20F6D" w:rsidP="00046B89">
      <w:pPr>
        <w:spacing w:line="240" w:lineRule="auto"/>
        <w:rPr>
          <w:rFonts w:eastAsiaTheme="majorEastAsia"/>
        </w:rPr>
      </w:pPr>
      <w:r w:rsidRPr="00742AC4">
        <w:rPr>
          <w:rFonts w:eastAsiaTheme="majorEastAsia"/>
        </w:rPr>
        <w:lastRenderedPageBreak/>
        <w:t xml:space="preserve">On another note, according to </w:t>
      </w:r>
      <w:hyperlink w:anchor="_ENREF_5" w:tooltip="Centre for Islamic Wealth Management, 2015 #347" w:history="1">
        <w:r w:rsidRPr="00742AC4">
          <w:rPr>
            <w:rFonts w:eastAsiaTheme="majorEastAsia"/>
          </w:rPr>
          <w:fldChar w:fldCharType="begin"/>
        </w:r>
        <w:r w:rsidRPr="00742AC4">
          <w:rPr>
            <w:rFonts w:eastAsiaTheme="majorEastAsia"/>
          </w:rPr>
          <w:instrText xml:space="preserve"> ADDIN EN.CITE &lt;EndNote&gt;&lt;Cite AuthorYear="1"&gt;&lt;Author&gt;Centre for Islamic Wealth Management&lt;/Author&gt;&lt;Year&gt;2015&lt;/Year&gt;&lt;RecNum&gt;347&lt;/RecNum&gt;&lt;DisplayText&gt;Centre for Islamic Wealth Management (2015)&lt;/DisplayText&gt;&lt;record&gt;&lt;rec-number&gt;347&lt;/rec-number&gt;&lt;foreign-keys&gt;&lt;key app="EN" db-id="s0sspezxpswprxedwfqp9fae9fszzs2dxzta" timestamp="1448350325"&gt;347&lt;/key&gt;&lt;/foreign-keys&gt;&lt;ref-type name="Report"&gt;27&lt;/ref-type&gt;&lt;contributors&gt;&lt;authors&gt;&lt;author&gt;Centre for Islamic Wealth Management,&lt;/author&gt;&lt;/authors&gt;&lt;secondary-authors&gt;&lt;author&gt;Centre for Islamic Wealth Management,&lt;/author&gt;&lt;/secondary-authors&gt;&lt;/contributors&gt;&lt;titles&gt;&lt;title&gt;Special Edition 2013-2015 Bulletin&lt;/title&gt;&lt;/titles&gt;&lt;dates&gt;&lt;year&gt;2015&lt;/year&gt;&lt;/dates&gt;&lt;pub-location&gt;Lorong University A, Kuala Lumpur Malaysia&lt;/pub-location&gt;&lt;publisher&gt;INCEIF and BNP Paribas&lt;/publisher&gt;&lt;urls&gt;&lt;/urls&gt;&lt;/record&gt;&lt;/Cite&gt;&lt;/EndNote&gt;</w:instrText>
        </w:r>
        <w:r w:rsidRPr="00742AC4">
          <w:rPr>
            <w:rFonts w:eastAsiaTheme="majorEastAsia"/>
          </w:rPr>
          <w:fldChar w:fldCharType="separate"/>
        </w:r>
        <w:r w:rsidRPr="00742AC4">
          <w:rPr>
            <w:rFonts w:eastAsiaTheme="majorEastAsia"/>
            <w:noProof/>
          </w:rPr>
          <w:t>Centre for Islamic Wealth Management (2015)</w:t>
        </w:r>
        <w:r w:rsidRPr="00742AC4">
          <w:rPr>
            <w:rFonts w:eastAsiaTheme="majorEastAsia"/>
          </w:rPr>
          <w:fldChar w:fldCharType="end"/>
        </w:r>
      </w:hyperlink>
      <w:r w:rsidRPr="00742AC4">
        <w:rPr>
          <w:rFonts w:eastAsiaTheme="majorEastAsia"/>
        </w:rPr>
        <w:t>, the accumulated funds for the establishment of waqf projects can be realised through a number of instruments including Cash and E-Waqf Fund, Per-square Feet Value Certificate, and sukuk issuance. This paper’s focus is on the sukuk issuance</w:t>
      </w:r>
      <w:r w:rsidRPr="006F131F">
        <w:rPr>
          <w:rFonts w:eastAsiaTheme="majorEastAsia"/>
        </w:rPr>
        <w:t xml:space="preserve">, particularly is proposing several </w:t>
      </w:r>
      <w:r>
        <w:rPr>
          <w:rFonts w:eastAsiaTheme="majorEastAsia"/>
        </w:rPr>
        <w:t>SRI sukuk</w:t>
      </w:r>
      <w:r w:rsidRPr="006F131F">
        <w:rPr>
          <w:rFonts w:eastAsiaTheme="majorEastAsia"/>
        </w:rPr>
        <w:t xml:space="preserve"> models for</w:t>
      </w:r>
      <w:r>
        <w:rPr>
          <w:rFonts w:eastAsiaTheme="majorEastAsia"/>
        </w:rPr>
        <w:t xml:space="preserve"> the purpose of development of w</w:t>
      </w:r>
      <w:r w:rsidRPr="006F131F">
        <w:rPr>
          <w:rFonts w:eastAsiaTheme="majorEastAsia"/>
        </w:rPr>
        <w:t>aqf assets and properties because no such model is in place at the moment.</w:t>
      </w:r>
    </w:p>
    <w:p w14:paraId="3CBE5643" w14:textId="6D1916F1" w:rsidR="00B20F6D" w:rsidRDefault="00B20F6D" w:rsidP="00046B89">
      <w:pPr>
        <w:pStyle w:val="Heading3"/>
        <w:numPr>
          <w:ilvl w:val="2"/>
          <w:numId w:val="37"/>
        </w:numPr>
        <w:spacing w:before="0" w:after="0" w:line="240" w:lineRule="auto"/>
      </w:pPr>
      <w:bookmarkStart w:id="18" w:name="_Toc491649680"/>
      <w:r>
        <w:t xml:space="preserve">Case Study: Sukuk </w:t>
      </w:r>
      <w:bookmarkEnd w:id="18"/>
      <w:r w:rsidR="008A76E1">
        <w:t>Musharakah for the Bencoolen Waqf Project</w:t>
      </w:r>
    </w:p>
    <w:p w14:paraId="3C18598A" w14:textId="77777777" w:rsidR="008A76E1" w:rsidRDefault="008A76E1" w:rsidP="00046B89">
      <w:pPr>
        <w:pStyle w:val="Heading1"/>
        <w:numPr>
          <w:ilvl w:val="0"/>
          <w:numId w:val="0"/>
        </w:numPr>
        <w:rPr>
          <w:b w:val="0"/>
          <w:bCs/>
        </w:rPr>
      </w:pPr>
    </w:p>
    <w:p w14:paraId="54909678" w14:textId="3BF8350F" w:rsidR="008A76E1" w:rsidRPr="008A76E1" w:rsidRDefault="008A76E1" w:rsidP="00046B89">
      <w:pPr>
        <w:pStyle w:val="Heading1"/>
        <w:numPr>
          <w:ilvl w:val="0"/>
          <w:numId w:val="0"/>
        </w:numPr>
        <w:rPr>
          <w:b w:val="0"/>
          <w:bCs/>
        </w:rPr>
      </w:pPr>
      <w:r w:rsidRPr="008A76E1">
        <w:rPr>
          <w:b w:val="0"/>
          <w:bCs/>
        </w:rPr>
        <w:t>The issuance of Sukuk Musharakah by Majlis Ugama Islam Singapura (MUIS) was divided into two tranches. The first tranche was a $25 million Sukuk Musharakah to purchase a building at 11 Beach Road. The second tranche was the raising of $35 million for the mixed development project at Bencoolen Street. This section will focus on the second tranche of the Bencoolen Waqf project.</w:t>
      </w:r>
    </w:p>
    <w:p w14:paraId="17049D11" w14:textId="79064016" w:rsidR="008A76E1" w:rsidRPr="008A76E1" w:rsidRDefault="008A76E1" w:rsidP="00046B89">
      <w:pPr>
        <w:pStyle w:val="Heading1"/>
        <w:numPr>
          <w:ilvl w:val="0"/>
          <w:numId w:val="0"/>
        </w:numPr>
        <w:rPr>
          <w:b w:val="0"/>
          <w:bCs/>
        </w:rPr>
      </w:pPr>
      <w:r w:rsidRPr="008A76E1">
        <w:rPr>
          <w:b w:val="0"/>
          <w:bCs/>
        </w:rPr>
        <w:t>The waqf property at Bencoolen Street, which was established in 1952, belongs to Shaikh Omar Bin Ali Aljunied</w:t>
      </w:r>
      <w:r w:rsidRPr="008A76E1">
        <w:rPr>
          <w:rStyle w:val="FootnoteReference"/>
          <w:b w:val="0"/>
          <w:bCs/>
        </w:rPr>
        <w:footnoteReference w:id="1"/>
      </w:r>
      <w:r w:rsidRPr="008A76E1">
        <w:rPr>
          <w:b w:val="0"/>
          <w:bCs/>
        </w:rPr>
        <w:t>. The intention of the waqf is to provide for the maintenance and preservation of the mosque at Bencoolen Street through income generated from the neighbouring shop-houses belonging to the waqf. The shop-houses were previously earning rental of $400</w:t>
      </w:r>
      <w:r w:rsidRPr="008A76E1">
        <w:rPr>
          <w:rStyle w:val="FootnoteReference"/>
          <w:b w:val="0"/>
          <w:bCs/>
        </w:rPr>
        <w:footnoteReference w:id="2"/>
      </w:r>
      <w:r w:rsidRPr="008A76E1">
        <w:rPr>
          <w:b w:val="0"/>
          <w:bCs/>
        </w:rPr>
        <w:t xml:space="preserve"> per month, which was not sufficient to cover the utilities and other fees. On top of that, the condition of the mosque and the shop-houses was poor hence needing a makeover. </w:t>
      </w:r>
    </w:p>
    <w:p w14:paraId="270A63C7" w14:textId="77777777" w:rsidR="008A76E1" w:rsidRPr="008A76E1" w:rsidRDefault="008A76E1" w:rsidP="00046B89">
      <w:pPr>
        <w:pStyle w:val="Heading1"/>
        <w:numPr>
          <w:ilvl w:val="0"/>
          <w:numId w:val="0"/>
        </w:numPr>
        <w:rPr>
          <w:b w:val="0"/>
          <w:bCs/>
        </w:rPr>
      </w:pPr>
    </w:p>
    <w:p w14:paraId="54A29186" w14:textId="3DA9D4E9" w:rsidR="008A76E1" w:rsidRPr="008A76E1" w:rsidRDefault="008A76E1" w:rsidP="00046B89">
      <w:pPr>
        <w:pStyle w:val="Heading1"/>
        <w:numPr>
          <w:ilvl w:val="0"/>
          <w:numId w:val="0"/>
        </w:numPr>
        <w:rPr>
          <w:b w:val="0"/>
          <w:bCs/>
        </w:rPr>
      </w:pPr>
      <w:r w:rsidRPr="008A76E1">
        <w:rPr>
          <w:b w:val="0"/>
          <w:bCs/>
        </w:rPr>
        <w:t>The land at Bencoolen Street has a huge commercial potential, particularly for being at a very central and strategic location. The busiest and famous shopping area in Singapore known as Orchard Road and a 4-star Bencoolen Hotel are just within walking distance. Within the area are also education centres like the Singapore Management University Campus</w:t>
      </w:r>
      <w:r w:rsidRPr="008A76E1">
        <w:rPr>
          <w:rStyle w:val="FootnoteReference"/>
          <w:b w:val="0"/>
          <w:bCs/>
        </w:rPr>
        <w:footnoteReference w:id="3"/>
      </w:r>
      <w:r w:rsidRPr="008A76E1">
        <w:rPr>
          <w:b w:val="0"/>
          <w:bCs/>
        </w:rPr>
        <w:t xml:space="preserve"> and the School of Fine Arts </w:t>
      </w:r>
      <w:r w:rsidRPr="008A76E1">
        <w:rPr>
          <w:b w:val="0"/>
          <w:bCs/>
        </w:rPr>
        <w:fldChar w:fldCharType="begin" w:fldLock="1"/>
      </w:r>
      <w:r w:rsidRPr="008A76E1">
        <w:rPr>
          <w:b w:val="0"/>
          <w:bCs/>
        </w:rPr>
        <w:instrText>ADDIN CSL_CITATION { "citationItems" : [ { "id" : "ITEM-1", "itemData" : { "author" : [ { "dropping-particle" : "", "family" : "Shamsiah Abdul-Karim", "given" : "", "non-dropping-particle" : "", "parse-names" : false, "suffix" : "" } ], "id" : "ITEM-1", "issued" : { "date-parts" : [ [ "2010" ] ] }, "publisher" : "Durham University", "title" : "CONTEMPORARY SHARI'AH STRUCTURING FOR THE DEVELOPMENT AND MANAGEMENT OF WAQF ASSETS IN SINGAPORE", "type" : "thesis" }, "uris" : [ "http://www.mendeley.com/documents/?uuid=018bb28b-da50-39b1-ab74-cfbd4ad09ae8" ] } ], "mendeley" : { "formattedCitation" : "(Shamsiah Abdul-Karim, 2010)", "plainTextFormattedCitation" : "(Shamsiah Abdul-Karim, 2010)", "previouslyFormattedCitation" : "(Shamsiah Abdul-Karim, 2010)" }, "properties" : { "noteIndex" : 0 }, "schema" : "https://github.com/citation-style-language/schema/raw/master/csl-citation.json" }</w:instrText>
      </w:r>
      <w:r w:rsidRPr="008A76E1">
        <w:rPr>
          <w:b w:val="0"/>
          <w:bCs/>
        </w:rPr>
        <w:fldChar w:fldCharType="separate"/>
      </w:r>
      <w:r w:rsidRPr="008A76E1">
        <w:rPr>
          <w:b w:val="0"/>
          <w:bCs/>
          <w:noProof/>
        </w:rPr>
        <w:t>(Shamsiah Abdul-Karim, 2010)</w:t>
      </w:r>
      <w:r w:rsidRPr="008A76E1">
        <w:rPr>
          <w:b w:val="0"/>
          <w:bCs/>
        </w:rPr>
        <w:fldChar w:fldCharType="end"/>
      </w:r>
      <w:r w:rsidRPr="008A76E1">
        <w:rPr>
          <w:b w:val="0"/>
          <w:bCs/>
        </w:rPr>
        <w:t xml:space="preserve">. Hence, for this reason, MUIS proposed for a development of 104 apartments, a mosque and a 6-storey commercial complex with a cost of approximately $35 million. This was the first time that MUIS was faced with a development of such scale and an external financing has ever been attempted for developing waqf assets. </w:t>
      </w:r>
    </w:p>
    <w:p w14:paraId="7BB59F69" w14:textId="77777777" w:rsidR="008A76E1" w:rsidRPr="008A76E1" w:rsidRDefault="008A76E1" w:rsidP="00046B89">
      <w:pPr>
        <w:pStyle w:val="Heading1"/>
        <w:numPr>
          <w:ilvl w:val="0"/>
          <w:numId w:val="0"/>
        </w:numPr>
        <w:rPr>
          <w:b w:val="0"/>
          <w:bCs/>
        </w:rPr>
      </w:pPr>
    </w:p>
    <w:p w14:paraId="01B18844" w14:textId="09141E3E" w:rsidR="008A76E1" w:rsidRPr="008A76E1" w:rsidRDefault="008A76E1" w:rsidP="00046B89">
      <w:pPr>
        <w:pStyle w:val="Heading1"/>
        <w:numPr>
          <w:ilvl w:val="0"/>
          <w:numId w:val="0"/>
        </w:numPr>
        <w:rPr>
          <w:b w:val="0"/>
          <w:bCs/>
        </w:rPr>
      </w:pPr>
      <w:r w:rsidRPr="008A76E1">
        <w:rPr>
          <w:b w:val="0"/>
          <w:bCs/>
        </w:rPr>
        <w:t xml:space="preserve">An innovative financial model was then structured for this purpose. There were two parts to model. The first part was the redevelopment through partnership (musharakah) between the waqf, Baitul Mal and Warees (a wholly owned subsidiary of Muis to handle waqf properties) to build the development at Bencoolen Street as shown in Figure 2. The waqf contributed land and some capital while Baitul Mal provided the necessary amount needed to develop it, which is the $35 million through issuance of Sukuk. Warees provided a minimal amount together with their expertise. In terms of profit distribution, as most musharakah agreements, the profit is divided accordingly as per capital invested. The investors/sukuholders through Baitul Mal shall earn a return of 3.03% which is about the rental income in the first year lease with Ascott, which will be explained next. </w:t>
      </w:r>
    </w:p>
    <w:p w14:paraId="12C55BC4" w14:textId="7D15C45D" w:rsidR="008A76E1" w:rsidRPr="008A76E1" w:rsidRDefault="008A76E1" w:rsidP="00046B89">
      <w:pPr>
        <w:pStyle w:val="Heading1"/>
        <w:numPr>
          <w:ilvl w:val="0"/>
          <w:numId w:val="0"/>
        </w:numPr>
        <w:rPr>
          <w:b w:val="0"/>
          <w:bCs/>
        </w:rPr>
      </w:pPr>
      <w:r w:rsidRPr="008A76E1">
        <w:rPr>
          <w:b w:val="0"/>
          <w:bCs/>
          <w:noProof/>
          <w:lang w:val="en-MY" w:eastAsia="en-MY"/>
        </w:rPr>
        <w:lastRenderedPageBreak/>
        <w:drawing>
          <wp:inline distT="0" distB="0" distL="0" distR="0" wp14:anchorId="1F36780B" wp14:editId="3B000F8D">
            <wp:extent cx="5210175" cy="3181350"/>
            <wp:effectExtent l="19050" t="19050" r="28575" b="19050"/>
            <wp:docPr id="3" name="Picture 3" descr="../../../../Desktop/Screen%20Shot%202017-06-13%20at%202.05.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06-13%20at%202.05.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181350"/>
                    </a:xfrm>
                    <a:prstGeom prst="rect">
                      <a:avLst/>
                    </a:prstGeom>
                    <a:noFill/>
                    <a:ln w="9525" cmpd="sng">
                      <a:solidFill>
                        <a:srgbClr val="000000"/>
                      </a:solidFill>
                      <a:miter lim="800000"/>
                      <a:headEnd/>
                      <a:tailEnd/>
                    </a:ln>
                    <a:effectLst/>
                  </pic:spPr>
                </pic:pic>
              </a:graphicData>
            </a:graphic>
          </wp:inline>
        </w:drawing>
      </w:r>
    </w:p>
    <w:p w14:paraId="385E377C" w14:textId="7CDDF371" w:rsidR="008A76E1" w:rsidRPr="008A76E1" w:rsidRDefault="008A76E1" w:rsidP="00046B89">
      <w:pPr>
        <w:pStyle w:val="Heading1"/>
        <w:numPr>
          <w:ilvl w:val="0"/>
          <w:numId w:val="0"/>
        </w:numPr>
        <w:rPr>
          <w:b w:val="0"/>
          <w:bCs/>
        </w:rPr>
      </w:pPr>
      <w:bookmarkStart w:id="19" w:name="_Toc491650063"/>
      <w:r w:rsidRPr="008A76E1">
        <w:rPr>
          <w:b w:val="0"/>
          <w:bCs/>
        </w:rPr>
        <w:t xml:space="preserve">Figure </w:t>
      </w:r>
      <w:r w:rsidRPr="008A76E1">
        <w:rPr>
          <w:b w:val="0"/>
          <w:bCs/>
        </w:rPr>
        <w:fldChar w:fldCharType="begin"/>
      </w:r>
      <w:r w:rsidRPr="008A76E1">
        <w:rPr>
          <w:b w:val="0"/>
          <w:bCs/>
        </w:rPr>
        <w:instrText xml:space="preserve"> SEQ Figure \* ARABIC </w:instrText>
      </w:r>
      <w:r w:rsidRPr="008A76E1">
        <w:rPr>
          <w:b w:val="0"/>
          <w:bCs/>
        </w:rPr>
        <w:fldChar w:fldCharType="separate"/>
      </w:r>
      <w:r w:rsidR="00864D1C">
        <w:rPr>
          <w:b w:val="0"/>
          <w:bCs/>
          <w:noProof/>
        </w:rPr>
        <w:t>2</w:t>
      </w:r>
      <w:r w:rsidRPr="008A76E1">
        <w:rPr>
          <w:b w:val="0"/>
          <w:bCs/>
        </w:rPr>
        <w:fldChar w:fldCharType="end"/>
      </w:r>
      <w:r w:rsidRPr="008A76E1">
        <w:rPr>
          <w:b w:val="0"/>
          <w:bCs/>
        </w:rPr>
        <w:t>: Sukuk Musharakah Arrangement</w:t>
      </w:r>
      <w:bookmarkEnd w:id="19"/>
    </w:p>
    <w:p w14:paraId="11837341" w14:textId="77777777" w:rsidR="008A76E1" w:rsidRPr="008A76E1" w:rsidRDefault="008A76E1" w:rsidP="00046B89">
      <w:pPr>
        <w:pStyle w:val="Heading1"/>
        <w:numPr>
          <w:ilvl w:val="0"/>
          <w:numId w:val="0"/>
        </w:numPr>
        <w:rPr>
          <w:b w:val="0"/>
          <w:bCs/>
        </w:rPr>
      </w:pPr>
      <w:r w:rsidRPr="008A76E1">
        <w:rPr>
          <w:b w:val="0"/>
          <w:bCs/>
        </w:rPr>
        <w:t>(Source: Shamsiah Abdul Karim, 2010)</w:t>
      </w:r>
    </w:p>
    <w:p w14:paraId="7AE94AF8" w14:textId="77777777" w:rsidR="008A76E1" w:rsidRPr="008A76E1" w:rsidRDefault="008A76E1" w:rsidP="00046B89">
      <w:pPr>
        <w:pStyle w:val="Heading1"/>
        <w:numPr>
          <w:ilvl w:val="0"/>
          <w:numId w:val="0"/>
        </w:numPr>
        <w:rPr>
          <w:b w:val="0"/>
          <w:bCs/>
        </w:rPr>
      </w:pPr>
    </w:p>
    <w:p w14:paraId="62EDFB6F" w14:textId="2FD8FE26" w:rsidR="008A76E1" w:rsidRPr="008A76E1" w:rsidRDefault="008A76E1" w:rsidP="00046B89">
      <w:pPr>
        <w:pStyle w:val="Heading1"/>
        <w:numPr>
          <w:ilvl w:val="0"/>
          <w:numId w:val="0"/>
        </w:numPr>
        <w:rPr>
          <w:b w:val="0"/>
          <w:bCs/>
        </w:rPr>
      </w:pPr>
      <w:r w:rsidRPr="008A76E1">
        <w:rPr>
          <w:b w:val="0"/>
          <w:bCs/>
        </w:rPr>
        <w:t xml:space="preserve">The second part of the model is the Ijarah or leasing contract, as illustrated in figure 3. The contract was entered between the Special Purpose Vehicle (SPV) with Ascott International Pte Ltd, who agreed to lease the property for a period of 10 years. The lease for the first year amounted to $1.3 million and subsequently increased to $1.8 million from year two to year ten. </w:t>
      </w:r>
    </w:p>
    <w:p w14:paraId="5ED3CE87" w14:textId="77777777" w:rsidR="008A76E1" w:rsidRPr="008A76E1" w:rsidRDefault="008A76E1" w:rsidP="00046B89">
      <w:pPr>
        <w:pStyle w:val="Heading1"/>
        <w:numPr>
          <w:ilvl w:val="0"/>
          <w:numId w:val="0"/>
        </w:numPr>
        <w:rPr>
          <w:b w:val="0"/>
          <w:bCs/>
        </w:rPr>
      </w:pPr>
    </w:p>
    <w:p w14:paraId="7EA6FEE2" w14:textId="3F0633DD" w:rsidR="008A76E1" w:rsidRDefault="008A76E1" w:rsidP="00046B89">
      <w:pPr>
        <w:pStyle w:val="Heading1"/>
        <w:numPr>
          <w:ilvl w:val="0"/>
          <w:numId w:val="0"/>
        </w:numPr>
        <w:rPr>
          <w:b w:val="0"/>
          <w:bCs/>
        </w:rPr>
      </w:pPr>
      <w:r w:rsidRPr="008A76E1">
        <w:rPr>
          <w:b w:val="0"/>
          <w:bCs/>
        </w:rPr>
        <w:t xml:space="preserve">From this arrangement, the waqf got a fresh new mosque with an increase capacity and income from 4-storey of commercial properties for the mosques to sustain and run its operation. Since Baitul Mal bears most of the risk in undertaking the $35 million investment, in return it will receive the service apartment with a 99-year lease. Warees Investments Pte Ltd will receive a minimal investment return and professional fees for managing the development. </w:t>
      </w:r>
    </w:p>
    <w:p w14:paraId="6C007F1F" w14:textId="77777777" w:rsidR="008A76E1" w:rsidRPr="008A76E1" w:rsidRDefault="008A76E1" w:rsidP="00046B89">
      <w:pPr>
        <w:spacing w:line="240" w:lineRule="auto"/>
      </w:pPr>
    </w:p>
    <w:p w14:paraId="678D2F3E" w14:textId="11668628" w:rsidR="008A76E1" w:rsidRPr="008A76E1" w:rsidRDefault="008A76E1" w:rsidP="00046B89">
      <w:pPr>
        <w:pStyle w:val="Heading1"/>
        <w:numPr>
          <w:ilvl w:val="0"/>
          <w:numId w:val="0"/>
        </w:numPr>
        <w:rPr>
          <w:b w:val="0"/>
          <w:bCs/>
        </w:rPr>
      </w:pPr>
      <w:r w:rsidRPr="008A76E1">
        <w:rPr>
          <w:b w:val="0"/>
          <w:bCs/>
          <w:noProof/>
          <w:lang w:val="en-MY" w:eastAsia="en-MY"/>
        </w:rPr>
        <w:drawing>
          <wp:inline distT="0" distB="0" distL="0" distR="0" wp14:anchorId="07A809E7" wp14:editId="2CA6B2E6">
            <wp:extent cx="5114925" cy="2485122"/>
            <wp:effectExtent l="19050" t="19050" r="9525" b="10795"/>
            <wp:docPr id="1" name="Picture 1" descr="../../../../Desktop/Screen%20Shot%202017-06-13%20at%202.05.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6-13%20at%202.05.5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744" cy="2491836"/>
                    </a:xfrm>
                    <a:prstGeom prst="rect">
                      <a:avLst/>
                    </a:prstGeom>
                    <a:noFill/>
                    <a:ln w="9525" cmpd="sng">
                      <a:solidFill>
                        <a:srgbClr val="000000"/>
                      </a:solidFill>
                      <a:miter lim="800000"/>
                      <a:headEnd/>
                      <a:tailEnd/>
                    </a:ln>
                    <a:effectLst/>
                  </pic:spPr>
                </pic:pic>
              </a:graphicData>
            </a:graphic>
          </wp:inline>
        </w:drawing>
      </w:r>
    </w:p>
    <w:p w14:paraId="2E5A4334" w14:textId="26B355C1" w:rsidR="008A76E1" w:rsidRPr="008A76E1" w:rsidRDefault="008A76E1" w:rsidP="00046B89">
      <w:pPr>
        <w:pStyle w:val="Heading1"/>
        <w:numPr>
          <w:ilvl w:val="0"/>
          <w:numId w:val="0"/>
        </w:numPr>
        <w:rPr>
          <w:b w:val="0"/>
          <w:bCs/>
        </w:rPr>
      </w:pPr>
      <w:bookmarkStart w:id="20" w:name="_Toc491650064"/>
      <w:r w:rsidRPr="008A76E1">
        <w:rPr>
          <w:b w:val="0"/>
          <w:bCs/>
        </w:rPr>
        <w:t xml:space="preserve">Figure </w:t>
      </w:r>
      <w:r w:rsidRPr="008A76E1">
        <w:rPr>
          <w:b w:val="0"/>
          <w:bCs/>
        </w:rPr>
        <w:fldChar w:fldCharType="begin"/>
      </w:r>
      <w:r w:rsidRPr="008A76E1">
        <w:rPr>
          <w:b w:val="0"/>
          <w:bCs/>
        </w:rPr>
        <w:instrText xml:space="preserve"> SEQ Figure \* ARABIC </w:instrText>
      </w:r>
      <w:r w:rsidRPr="008A76E1">
        <w:rPr>
          <w:b w:val="0"/>
          <w:bCs/>
        </w:rPr>
        <w:fldChar w:fldCharType="separate"/>
      </w:r>
      <w:r w:rsidR="00864D1C">
        <w:rPr>
          <w:b w:val="0"/>
          <w:bCs/>
          <w:noProof/>
        </w:rPr>
        <w:t>3</w:t>
      </w:r>
      <w:r w:rsidRPr="008A76E1">
        <w:rPr>
          <w:b w:val="0"/>
          <w:bCs/>
        </w:rPr>
        <w:fldChar w:fldCharType="end"/>
      </w:r>
      <w:r w:rsidRPr="008A76E1">
        <w:rPr>
          <w:b w:val="0"/>
          <w:bCs/>
        </w:rPr>
        <w:t>: Ijarah between SPV and Ascott International</w:t>
      </w:r>
      <w:bookmarkEnd w:id="20"/>
    </w:p>
    <w:p w14:paraId="57D0E806" w14:textId="77777777" w:rsidR="008A76E1" w:rsidRPr="008A76E1" w:rsidRDefault="008A76E1" w:rsidP="00046B89">
      <w:pPr>
        <w:pStyle w:val="Heading1"/>
        <w:numPr>
          <w:ilvl w:val="0"/>
          <w:numId w:val="0"/>
        </w:numPr>
        <w:rPr>
          <w:b w:val="0"/>
          <w:bCs/>
        </w:rPr>
      </w:pPr>
      <w:r w:rsidRPr="008A76E1">
        <w:rPr>
          <w:b w:val="0"/>
          <w:bCs/>
        </w:rPr>
        <w:t>(Source: MUIS)</w:t>
      </w:r>
    </w:p>
    <w:p w14:paraId="2768EA4B" w14:textId="7CE177D7" w:rsidR="002E59CE" w:rsidRDefault="002E59CE" w:rsidP="00046B89">
      <w:pPr>
        <w:pStyle w:val="Heading1"/>
      </w:pPr>
      <w:r>
        <w:lastRenderedPageBreak/>
        <w:t>Research Methodolog</w:t>
      </w:r>
      <w:r w:rsidR="00AC163C">
        <w:t>y</w:t>
      </w:r>
    </w:p>
    <w:p w14:paraId="77E40422" w14:textId="795B7688" w:rsidR="00F73ABE" w:rsidRDefault="00F73ABE" w:rsidP="00046B89">
      <w:pPr>
        <w:spacing w:line="240" w:lineRule="auto"/>
        <w:rPr>
          <w:rFonts w:eastAsia="Times New Roman"/>
          <w:lang w:val="en-US"/>
        </w:rPr>
      </w:pPr>
      <w:r w:rsidRPr="006F131F">
        <w:t xml:space="preserve">As the area of research on the link between </w:t>
      </w:r>
      <w:r>
        <w:t>SRI sukuk and w</w:t>
      </w:r>
      <w:r w:rsidRPr="006F131F">
        <w:t xml:space="preserve">aqf is relatively unexplored, this study undertakes a combination of desk research and interview. </w:t>
      </w:r>
      <w:r>
        <w:t>T</w:t>
      </w:r>
      <w:r w:rsidR="000D61D6">
        <w:t xml:space="preserve">o </w:t>
      </w:r>
      <w:r>
        <w:t xml:space="preserve">design the </w:t>
      </w:r>
      <w:r w:rsidRPr="006F131F">
        <w:t xml:space="preserve">structure of </w:t>
      </w:r>
      <w:r w:rsidR="000D61D6">
        <w:t xml:space="preserve">an </w:t>
      </w:r>
      <w:r w:rsidR="00065C38">
        <w:t>Musharakah</w:t>
      </w:r>
      <w:r w:rsidR="000D61D6">
        <w:t xml:space="preserve"> </w:t>
      </w:r>
      <w:r>
        <w:t>SRI sukuk</w:t>
      </w:r>
      <w:r w:rsidRPr="006F131F">
        <w:t xml:space="preserve"> </w:t>
      </w:r>
      <w:r>
        <w:t xml:space="preserve">model </w:t>
      </w:r>
      <w:r w:rsidRPr="006F131F">
        <w:t>for the develop</w:t>
      </w:r>
      <w:r>
        <w:t>ment of w</w:t>
      </w:r>
      <w:r w:rsidR="000D61D6">
        <w:t>aqf properties and assets, t</w:t>
      </w:r>
      <w:r>
        <w:t xml:space="preserve">he best available data to achieve this </w:t>
      </w:r>
      <w:r w:rsidR="000D61D6">
        <w:t>is</w:t>
      </w:r>
      <w:r>
        <w:t xml:space="preserve"> via a desk research, where</w:t>
      </w:r>
      <w:r w:rsidRPr="006F131F">
        <w:t xml:space="preserve"> a detailed critical review and analysis of past literature from reports, journals, framework, books and practices </w:t>
      </w:r>
      <w:r>
        <w:t>are</w:t>
      </w:r>
      <w:r w:rsidRPr="006F131F">
        <w:t xml:space="preserve"> undertaken.</w:t>
      </w:r>
      <w:r w:rsidR="000D61D6">
        <w:t xml:space="preserve"> I</w:t>
      </w:r>
      <w:r>
        <w:t xml:space="preserve">n the researcher’s pursuit of </w:t>
      </w:r>
      <w:r w:rsidR="000D61D6">
        <w:t xml:space="preserve">seeking validation and feedback on the proposed model, </w:t>
      </w:r>
      <w:r w:rsidRPr="00493933">
        <w:rPr>
          <w:rFonts w:eastAsia="Times New Roman"/>
          <w:lang w:val="en-US"/>
        </w:rPr>
        <w:t xml:space="preserve">face-to-face interviews </w:t>
      </w:r>
      <w:r w:rsidR="000D61D6">
        <w:rPr>
          <w:rFonts w:eastAsia="Times New Roman"/>
          <w:lang w:val="en-US"/>
        </w:rPr>
        <w:t>were</w:t>
      </w:r>
      <w:r w:rsidRPr="00493933">
        <w:rPr>
          <w:rFonts w:eastAsia="Times New Roman"/>
          <w:lang w:val="en-US"/>
        </w:rPr>
        <w:t xml:space="preserve"> conducted with</w:t>
      </w:r>
      <w:r>
        <w:rPr>
          <w:rFonts w:eastAsia="Times New Roman"/>
          <w:lang w:val="en-US"/>
        </w:rPr>
        <w:t xml:space="preserve"> subject matter experts and industry practitioners. </w:t>
      </w:r>
    </w:p>
    <w:p w14:paraId="74EE5AE2" w14:textId="4C3BCD62" w:rsidR="00F73ABE" w:rsidRDefault="00F73ABE" w:rsidP="00046B89">
      <w:pPr>
        <w:pStyle w:val="NormalWeb"/>
        <w:spacing w:before="0" w:beforeAutospacing="0" w:after="0" w:afterAutospacing="0"/>
        <w:ind w:firstLine="0"/>
      </w:pPr>
      <w:r w:rsidRPr="006F131F">
        <w:t xml:space="preserve">Since </w:t>
      </w:r>
      <w:r>
        <w:t>SRI sukuk and w</w:t>
      </w:r>
      <w:r w:rsidRPr="006F131F">
        <w:t xml:space="preserve">aqf are specialised niche areas, </w:t>
      </w:r>
      <w:r>
        <w:t xml:space="preserve">there are not many individuals who are experts in these areas. Based on the researcher’s search, the participants of the interview were then selected based on their vast relevant experience and understanding on the subject matters. </w:t>
      </w:r>
      <w:r w:rsidR="00ED0F2B">
        <w:t>The</w:t>
      </w:r>
      <w:r>
        <w:t xml:space="preserve"> respondents</w:t>
      </w:r>
      <w:r w:rsidRPr="00514B8B">
        <w:rPr>
          <w:rStyle w:val="FootnoteReference"/>
        </w:rPr>
        <w:footnoteReference w:id="4"/>
      </w:r>
      <w:r>
        <w:t xml:space="preserve"> who agreed to participate consist of</w:t>
      </w:r>
      <w:r w:rsidRPr="006F131F">
        <w:t xml:space="preserve"> a chairman of a bank’s Shariah Committee, t</w:t>
      </w:r>
      <w:r>
        <w:t>wo directors, a senior</w:t>
      </w:r>
      <w:r w:rsidRPr="006F131F">
        <w:t xml:space="preserve"> </w:t>
      </w:r>
      <w:r>
        <w:t xml:space="preserve">management, </w:t>
      </w:r>
      <w:r w:rsidRPr="006F131F">
        <w:t>and a senior researcher at one of the top Islamic Banking and Finance institutes in Malaysia</w:t>
      </w:r>
      <w:r>
        <w:t>.</w:t>
      </w:r>
      <w:r w:rsidRPr="00BA6C9F">
        <w:t xml:space="preserve"> </w:t>
      </w:r>
      <w:r>
        <w:t xml:space="preserve">They </w:t>
      </w:r>
      <w:r w:rsidRPr="006F131F">
        <w:t>are</w:t>
      </w:r>
      <w:r>
        <w:t xml:space="preserve"> all</w:t>
      </w:r>
      <w:r w:rsidRPr="006F131F">
        <w:t xml:space="preserve"> based in Kuala Lumpur and have </w:t>
      </w:r>
      <w:r>
        <w:t>had experience in dealing with s</w:t>
      </w:r>
      <w:r w:rsidRPr="006F131F">
        <w:t>ukuk, either as an issuer, investor, researcher or evaluator.</w:t>
      </w:r>
      <w:r>
        <w:t xml:space="preserve"> A summary of the respondents</w:t>
      </w:r>
      <w:r w:rsidRPr="006F131F">
        <w:t xml:space="preserve"> is given in Table </w:t>
      </w:r>
      <w:r>
        <w:t>1</w:t>
      </w:r>
      <w:r w:rsidRPr="006F131F">
        <w:t xml:space="preserve">. </w:t>
      </w:r>
    </w:p>
    <w:p w14:paraId="5CC3F93B" w14:textId="77777777" w:rsidR="00F73ABE" w:rsidRPr="007022FF" w:rsidRDefault="00F73ABE" w:rsidP="00046B89">
      <w:pPr>
        <w:pStyle w:val="NormalWeb"/>
        <w:spacing w:before="0" w:beforeAutospacing="0" w:after="0" w:afterAutospacing="0"/>
        <w:rPr>
          <w:lang w:val="en-US"/>
        </w:rPr>
      </w:pPr>
    </w:p>
    <w:p w14:paraId="653D297E" w14:textId="1FBCD4C2" w:rsidR="00F73ABE" w:rsidRDefault="00F73ABE" w:rsidP="00046B89">
      <w:pPr>
        <w:pStyle w:val="Caption"/>
        <w:spacing w:after="0"/>
        <w:jc w:val="both"/>
        <w:rPr>
          <w:color w:val="000000" w:themeColor="text1"/>
        </w:rPr>
      </w:pPr>
      <w:bookmarkStart w:id="21" w:name="_Toc491652603"/>
      <w:r w:rsidRPr="00F30828">
        <w:rPr>
          <w:color w:val="000000" w:themeColor="text1"/>
        </w:rPr>
        <w:t xml:space="preserve">Table </w:t>
      </w:r>
      <w:r>
        <w:rPr>
          <w:color w:val="000000" w:themeColor="text1"/>
        </w:rPr>
        <w:fldChar w:fldCharType="begin"/>
      </w:r>
      <w:r>
        <w:rPr>
          <w:color w:val="000000" w:themeColor="text1"/>
        </w:rPr>
        <w:instrText xml:space="preserve"> SEQ Table \* ARABIC </w:instrText>
      </w:r>
      <w:r>
        <w:rPr>
          <w:color w:val="000000" w:themeColor="text1"/>
        </w:rPr>
        <w:fldChar w:fldCharType="separate"/>
      </w:r>
      <w:r w:rsidR="00864D1C">
        <w:rPr>
          <w:noProof/>
          <w:color w:val="000000" w:themeColor="text1"/>
        </w:rPr>
        <w:t>1</w:t>
      </w:r>
      <w:r>
        <w:rPr>
          <w:color w:val="000000" w:themeColor="text1"/>
        </w:rPr>
        <w:fldChar w:fldCharType="end"/>
      </w:r>
      <w:r w:rsidRPr="00F30828">
        <w:rPr>
          <w:color w:val="000000" w:themeColor="text1"/>
        </w:rPr>
        <w:t>: Summary of Respondents</w:t>
      </w:r>
      <w:bookmarkEnd w:id="21"/>
    </w:p>
    <w:p w14:paraId="7DF843C6" w14:textId="77777777" w:rsidR="00ED0F2B" w:rsidRPr="00ED0F2B" w:rsidRDefault="00ED0F2B" w:rsidP="00046B89">
      <w:pPr>
        <w:spacing w:after="0" w:line="240" w:lineRule="auto"/>
      </w:pPr>
    </w:p>
    <w:tbl>
      <w:tblPr>
        <w:tblStyle w:val="TableGrid"/>
        <w:tblW w:w="9058" w:type="dxa"/>
        <w:tblBorders>
          <w:left w:val="none" w:sz="0" w:space="0" w:color="auto"/>
          <w:right w:val="none" w:sz="0" w:space="0" w:color="auto"/>
        </w:tblBorders>
        <w:tblLook w:val="0420" w:firstRow="1" w:lastRow="0" w:firstColumn="0" w:lastColumn="0" w:noHBand="0" w:noVBand="1"/>
      </w:tblPr>
      <w:tblGrid>
        <w:gridCol w:w="2715"/>
        <w:gridCol w:w="2899"/>
        <w:gridCol w:w="3444"/>
      </w:tblGrid>
      <w:tr w:rsidR="00F73ABE" w:rsidRPr="006F131F" w14:paraId="7A6AE4B6" w14:textId="77777777" w:rsidTr="005841DC">
        <w:trPr>
          <w:trHeight w:val="413"/>
        </w:trPr>
        <w:tc>
          <w:tcPr>
            <w:tcW w:w="2715" w:type="dxa"/>
            <w:tcBorders>
              <w:bottom w:val="single" w:sz="4" w:space="0" w:color="auto"/>
              <w:right w:val="nil"/>
            </w:tcBorders>
          </w:tcPr>
          <w:p w14:paraId="766DB78A" w14:textId="77777777" w:rsidR="00F73ABE" w:rsidRPr="006F131F" w:rsidRDefault="00F73ABE" w:rsidP="00046B89">
            <w:pPr>
              <w:rPr>
                <w:rFonts w:eastAsia="Calibri"/>
                <w:b/>
              </w:rPr>
            </w:pPr>
            <w:r w:rsidRPr="006F131F">
              <w:rPr>
                <w:rFonts w:eastAsia="Calibri"/>
                <w:b/>
              </w:rPr>
              <w:t>Organisation</w:t>
            </w:r>
          </w:p>
        </w:tc>
        <w:tc>
          <w:tcPr>
            <w:tcW w:w="2899" w:type="dxa"/>
            <w:tcBorders>
              <w:left w:val="nil"/>
              <w:bottom w:val="single" w:sz="4" w:space="0" w:color="auto"/>
              <w:right w:val="nil"/>
            </w:tcBorders>
          </w:tcPr>
          <w:p w14:paraId="6A271122" w14:textId="77777777" w:rsidR="00F73ABE" w:rsidRPr="006F131F" w:rsidRDefault="00F73ABE" w:rsidP="00046B89">
            <w:pPr>
              <w:rPr>
                <w:rFonts w:eastAsia="Calibri"/>
                <w:b/>
              </w:rPr>
            </w:pPr>
            <w:r w:rsidRPr="006F131F">
              <w:rPr>
                <w:rFonts w:eastAsia="Calibri"/>
                <w:b/>
              </w:rPr>
              <w:t>Individual</w:t>
            </w:r>
          </w:p>
        </w:tc>
        <w:tc>
          <w:tcPr>
            <w:tcW w:w="3444" w:type="dxa"/>
            <w:tcBorders>
              <w:left w:val="nil"/>
              <w:bottom w:val="single" w:sz="4" w:space="0" w:color="auto"/>
            </w:tcBorders>
          </w:tcPr>
          <w:p w14:paraId="77C923AF" w14:textId="77777777" w:rsidR="00F73ABE" w:rsidRPr="006F131F" w:rsidRDefault="00F73ABE" w:rsidP="00046B89">
            <w:pPr>
              <w:rPr>
                <w:rFonts w:eastAsia="Calibri"/>
                <w:b/>
              </w:rPr>
            </w:pPr>
            <w:r w:rsidRPr="006F131F">
              <w:rPr>
                <w:rFonts w:eastAsia="Calibri"/>
                <w:b/>
              </w:rPr>
              <w:t>Respondent’s Position</w:t>
            </w:r>
          </w:p>
        </w:tc>
      </w:tr>
      <w:tr w:rsidR="00F73ABE" w:rsidRPr="006F131F" w14:paraId="069D69ED" w14:textId="77777777" w:rsidTr="005841DC">
        <w:trPr>
          <w:trHeight w:val="413"/>
        </w:trPr>
        <w:tc>
          <w:tcPr>
            <w:tcW w:w="2715" w:type="dxa"/>
            <w:tcBorders>
              <w:bottom w:val="nil"/>
              <w:right w:val="nil"/>
            </w:tcBorders>
          </w:tcPr>
          <w:p w14:paraId="71D508EF" w14:textId="77777777" w:rsidR="00F73ABE" w:rsidRPr="006F131F" w:rsidRDefault="00F73ABE" w:rsidP="00046B89">
            <w:pPr>
              <w:rPr>
                <w:rFonts w:eastAsia="Calibri"/>
              </w:rPr>
            </w:pPr>
            <w:r w:rsidRPr="006F131F">
              <w:t>A</w:t>
            </w:r>
          </w:p>
        </w:tc>
        <w:tc>
          <w:tcPr>
            <w:tcW w:w="2899" w:type="dxa"/>
            <w:tcBorders>
              <w:left w:val="nil"/>
              <w:bottom w:val="nil"/>
              <w:right w:val="nil"/>
            </w:tcBorders>
          </w:tcPr>
          <w:p w14:paraId="14C4AB8B" w14:textId="77777777" w:rsidR="00F73ABE" w:rsidRPr="006F131F" w:rsidRDefault="00F73ABE" w:rsidP="00046B89">
            <w:pPr>
              <w:rPr>
                <w:rFonts w:eastAsia="Calibri"/>
              </w:rPr>
            </w:pPr>
            <w:r w:rsidRPr="006F131F">
              <w:rPr>
                <w:rFonts w:eastAsia="Calibri"/>
              </w:rPr>
              <w:t>A1</w:t>
            </w:r>
          </w:p>
        </w:tc>
        <w:tc>
          <w:tcPr>
            <w:tcW w:w="3444" w:type="dxa"/>
            <w:tcBorders>
              <w:left w:val="nil"/>
              <w:bottom w:val="nil"/>
            </w:tcBorders>
          </w:tcPr>
          <w:p w14:paraId="57F5AA91" w14:textId="77777777" w:rsidR="00F73ABE" w:rsidRPr="006F131F" w:rsidRDefault="00F73ABE" w:rsidP="00046B89">
            <w:pPr>
              <w:rPr>
                <w:rFonts w:eastAsia="Calibri"/>
              </w:rPr>
            </w:pPr>
            <w:r w:rsidRPr="006F131F">
              <w:rPr>
                <w:rFonts w:eastAsia="Calibri"/>
              </w:rPr>
              <w:t>Chairman</w:t>
            </w:r>
          </w:p>
        </w:tc>
      </w:tr>
      <w:tr w:rsidR="00F73ABE" w:rsidRPr="006F131F" w14:paraId="7BD0F108" w14:textId="77777777" w:rsidTr="005841DC">
        <w:trPr>
          <w:trHeight w:val="447"/>
        </w:trPr>
        <w:tc>
          <w:tcPr>
            <w:tcW w:w="2715" w:type="dxa"/>
            <w:tcBorders>
              <w:top w:val="nil"/>
              <w:bottom w:val="nil"/>
              <w:right w:val="nil"/>
            </w:tcBorders>
          </w:tcPr>
          <w:p w14:paraId="5FF55621" w14:textId="77777777" w:rsidR="00F73ABE" w:rsidRPr="006F131F" w:rsidRDefault="00F73ABE" w:rsidP="00046B89">
            <w:pPr>
              <w:rPr>
                <w:rFonts w:eastAsia="Calibri"/>
              </w:rPr>
            </w:pPr>
            <w:r w:rsidRPr="006F131F">
              <w:t>B</w:t>
            </w:r>
          </w:p>
        </w:tc>
        <w:tc>
          <w:tcPr>
            <w:tcW w:w="2899" w:type="dxa"/>
            <w:tcBorders>
              <w:top w:val="nil"/>
              <w:left w:val="nil"/>
              <w:bottom w:val="nil"/>
              <w:right w:val="nil"/>
            </w:tcBorders>
          </w:tcPr>
          <w:p w14:paraId="61F61032" w14:textId="77777777" w:rsidR="00F73ABE" w:rsidRPr="006F131F" w:rsidRDefault="00F73ABE" w:rsidP="00046B89">
            <w:pPr>
              <w:rPr>
                <w:rFonts w:eastAsia="Calibri"/>
              </w:rPr>
            </w:pPr>
            <w:r w:rsidRPr="006F131F">
              <w:rPr>
                <w:rFonts w:eastAsia="Calibri"/>
              </w:rPr>
              <w:t>B1</w:t>
            </w:r>
          </w:p>
        </w:tc>
        <w:tc>
          <w:tcPr>
            <w:tcW w:w="3444" w:type="dxa"/>
            <w:tcBorders>
              <w:top w:val="nil"/>
              <w:left w:val="nil"/>
              <w:bottom w:val="nil"/>
            </w:tcBorders>
          </w:tcPr>
          <w:p w14:paraId="37D830B2" w14:textId="77777777" w:rsidR="00F73ABE" w:rsidRPr="006F131F" w:rsidRDefault="00F73ABE" w:rsidP="00046B89">
            <w:pPr>
              <w:rPr>
                <w:rFonts w:eastAsia="Calibri"/>
              </w:rPr>
            </w:pPr>
            <w:r w:rsidRPr="006F131F">
              <w:rPr>
                <w:rFonts w:eastAsia="Calibri"/>
              </w:rPr>
              <w:t>Senior Researcher</w:t>
            </w:r>
          </w:p>
        </w:tc>
      </w:tr>
      <w:tr w:rsidR="00F73ABE" w:rsidRPr="006F131F" w14:paraId="563EF716" w14:textId="77777777" w:rsidTr="005841DC">
        <w:trPr>
          <w:trHeight w:val="828"/>
        </w:trPr>
        <w:tc>
          <w:tcPr>
            <w:tcW w:w="2715" w:type="dxa"/>
            <w:tcBorders>
              <w:top w:val="nil"/>
              <w:bottom w:val="nil"/>
              <w:right w:val="nil"/>
            </w:tcBorders>
          </w:tcPr>
          <w:p w14:paraId="19BBADFB" w14:textId="77777777" w:rsidR="00F73ABE" w:rsidRPr="006F131F" w:rsidRDefault="00F73ABE" w:rsidP="00046B89">
            <w:r w:rsidRPr="006F131F">
              <w:t>C</w:t>
            </w:r>
          </w:p>
        </w:tc>
        <w:tc>
          <w:tcPr>
            <w:tcW w:w="2899" w:type="dxa"/>
            <w:tcBorders>
              <w:top w:val="nil"/>
              <w:left w:val="nil"/>
              <w:bottom w:val="nil"/>
              <w:right w:val="nil"/>
            </w:tcBorders>
          </w:tcPr>
          <w:p w14:paraId="500E2337" w14:textId="77777777" w:rsidR="00F73ABE" w:rsidRPr="006F131F" w:rsidRDefault="00F73ABE" w:rsidP="00046B89">
            <w:pPr>
              <w:rPr>
                <w:rFonts w:eastAsia="Calibri"/>
              </w:rPr>
            </w:pPr>
            <w:r w:rsidRPr="006F131F">
              <w:rPr>
                <w:rFonts w:eastAsia="Calibri"/>
              </w:rPr>
              <w:t>C1</w:t>
            </w:r>
          </w:p>
          <w:p w14:paraId="4969D530" w14:textId="77777777" w:rsidR="00F73ABE" w:rsidRPr="006F131F" w:rsidRDefault="00F73ABE" w:rsidP="00046B89">
            <w:pPr>
              <w:rPr>
                <w:rFonts w:eastAsia="Calibri"/>
              </w:rPr>
            </w:pPr>
            <w:r w:rsidRPr="006F131F">
              <w:rPr>
                <w:rFonts w:eastAsia="Calibri"/>
              </w:rPr>
              <w:t>C2</w:t>
            </w:r>
          </w:p>
        </w:tc>
        <w:tc>
          <w:tcPr>
            <w:tcW w:w="3444" w:type="dxa"/>
            <w:tcBorders>
              <w:top w:val="nil"/>
              <w:left w:val="nil"/>
              <w:bottom w:val="nil"/>
            </w:tcBorders>
          </w:tcPr>
          <w:p w14:paraId="7C2474F7" w14:textId="77777777" w:rsidR="00F73ABE" w:rsidRPr="006F131F" w:rsidRDefault="00F73ABE" w:rsidP="00046B89">
            <w:pPr>
              <w:rPr>
                <w:rFonts w:eastAsia="Calibri"/>
              </w:rPr>
            </w:pPr>
            <w:r w:rsidRPr="006F131F">
              <w:rPr>
                <w:rFonts w:eastAsia="Calibri"/>
              </w:rPr>
              <w:t>Director</w:t>
            </w:r>
          </w:p>
          <w:p w14:paraId="1DA82277" w14:textId="77777777" w:rsidR="00F73ABE" w:rsidRPr="006F131F" w:rsidRDefault="00F73ABE" w:rsidP="00046B89">
            <w:pPr>
              <w:rPr>
                <w:rFonts w:eastAsia="Calibri"/>
              </w:rPr>
            </w:pPr>
            <w:r w:rsidRPr="006F131F">
              <w:rPr>
                <w:rFonts w:eastAsia="Calibri"/>
              </w:rPr>
              <w:t>Vice President</w:t>
            </w:r>
          </w:p>
        </w:tc>
      </w:tr>
      <w:tr w:rsidR="00F73ABE" w:rsidRPr="006F131F" w14:paraId="0AE70BD6" w14:textId="77777777" w:rsidTr="005841DC">
        <w:trPr>
          <w:trHeight w:val="413"/>
        </w:trPr>
        <w:tc>
          <w:tcPr>
            <w:tcW w:w="2715" w:type="dxa"/>
            <w:tcBorders>
              <w:top w:val="nil"/>
              <w:bottom w:val="nil"/>
              <w:right w:val="nil"/>
            </w:tcBorders>
          </w:tcPr>
          <w:p w14:paraId="4899E840" w14:textId="77777777" w:rsidR="00F73ABE" w:rsidRPr="006F131F" w:rsidRDefault="00F73ABE" w:rsidP="00046B89">
            <w:pPr>
              <w:rPr>
                <w:rFonts w:eastAsia="Calibri"/>
              </w:rPr>
            </w:pPr>
            <w:r w:rsidRPr="006F131F">
              <w:t>D</w:t>
            </w:r>
          </w:p>
        </w:tc>
        <w:tc>
          <w:tcPr>
            <w:tcW w:w="2899" w:type="dxa"/>
            <w:tcBorders>
              <w:top w:val="nil"/>
              <w:left w:val="nil"/>
              <w:bottom w:val="nil"/>
              <w:right w:val="nil"/>
            </w:tcBorders>
          </w:tcPr>
          <w:p w14:paraId="536FB03F" w14:textId="77777777" w:rsidR="00F73ABE" w:rsidRPr="006F131F" w:rsidRDefault="00F73ABE" w:rsidP="00046B89">
            <w:pPr>
              <w:rPr>
                <w:rFonts w:eastAsia="Calibri"/>
              </w:rPr>
            </w:pPr>
            <w:r w:rsidRPr="006F131F">
              <w:rPr>
                <w:rFonts w:eastAsia="Calibri"/>
              </w:rPr>
              <w:t>D1</w:t>
            </w:r>
          </w:p>
        </w:tc>
        <w:tc>
          <w:tcPr>
            <w:tcW w:w="3444" w:type="dxa"/>
            <w:tcBorders>
              <w:top w:val="nil"/>
              <w:left w:val="nil"/>
              <w:bottom w:val="nil"/>
            </w:tcBorders>
          </w:tcPr>
          <w:p w14:paraId="7EC94849" w14:textId="77777777" w:rsidR="00F73ABE" w:rsidRPr="006F131F" w:rsidRDefault="00F73ABE" w:rsidP="00046B89">
            <w:pPr>
              <w:rPr>
                <w:rFonts w:eastAsia="Calibri"/>
              </w:rPr>
            </w:pPr>
            <w:r w:rsidRPr="006F131F">
              <w:rPr>
                <w:rFonts w:eastAsia="Calibri"/>
              </w:rPr>
              <w:t>Director</w:t>
            </w:r>
          </w:p>
        </w:tc>
      </w:tr>
    </w:tbl>
    <w:p w14:paraId="08FED87A" w14:textId="3AFA7BD6" w:rsidR="002E59CE" w:rsidRPr="00F73ABE" w:rsidRDefault="002E59CE" w:rsidP="00046B89">
      <w:pPr>
        <w:spacing w:line="240" w:lineRule="auto"/>
      </w:pPr>
    </w:p>
    <w:p w14:paraId="616FF358" w14:textId="44BA6848" w:rsidR="006B65D1" w:rsidRDefault="00065C38" w:rsidP="00046B89">
      <w:pPr>
        <w:pStyle w:val="Heading1"/>
      </w:pPr>
      <w:r>
        <w:t>Musharakah</w:t>
      </w:r>
      <w:r w:rsidR="002E59CE">
        <w:t xml:space="preserve"> SRI Sukuk Model</w:t>
      </w:r>
    </w:p>
    <w:p w14:paraId="5F5623B0" w14:textId="7CAD24A0" w:rsidR="00046B89" w:rsidRDefault="00046B89" w:rsidP="00046B89">
      <w:pPr>
        <w:spacing w:line="240" w:lineRule="auto"/>
        <w:rPr>
          <w:rFonts w:eastAsia="Times New Roman"/>
          <w:lang w:val="en-US"/>
        </w:rPr>
      </w:pPr>
      <w:r>
        <w:t xml:space="preserve">This model is inspired by the Sukuk Musharakah for the Bencoolen Waqf project in Singapore as mentioned in the previous section. Sukuk Musharakah is an equity based sukuk that is based on partnership. </w:t>
      </w:r>
      <w:r>
        <w:rPr>
          <w:rStyle w:val="apple-converted-space"/>
          <w:rFonts w:eastAsia="Times New Roman"/>
          <w:color w:val="000000"/>
          <w:shd w:val="clear" w:color="auto" w:fill="FFFFFF"/>
        </w:rPr>
        <w:t> </w:t>
      </w:r>
      <w:r>
        <w:rPr>
          <w:rFonts w:eastAsia="Times New Roman"/>
          <w:color w:val="000000"/>
          <w:shd w:val="clear" w:color="auto" w:fill="FFFFFF"/>
        </w:rPr>
        <w:t>The sukuk-financed musharakah project can be managed either on the basis of participation (musharakah),</w:t>
      </w:r>
      <w:r>
        <w:rPr>
          <w:rStyle w:val="apple-converted-space"/>
          <w:rFonts w:eastAsia="Times New Roman"/>
          <w:color w:val="000000"/>
          <w:shd w:val="clear" w:color="auto" w:fill="FFFFFF"/>
        </w:rPr>
        <w:t> </w:t>
      </w:r>
      <w:r>
        <w:rPr>
          <w:rFonts w:eastAsia="Times New Roman"/>
        </w:rPr>
        <w:t>mudaraba</w:t>
      </w:r>
      <w:r>
        <w:rPr>
          <w:rFonts w:eastAsia="Times New Roman"/>
          <w:color w:val="000000"/>
          <w:shd w:val="clear" w:color="auto" w:fill="FFFFFF"/>
        </w:rPr>
        <w:t xml:space="preserve"> or investment agency </w:t>
      </w:r>
      <w:sdt>
        <w:sdtPr>
          <w:rPr>
            <w:rFonts w:eastAsia="Times New Roman"/>
            <w:color w:val="000000"/>
            <w:shd w:val="clear" w:color="auto" w:fill="FFFFFF"/>
          </w:rPr>
          <w:id w:val="-1351330176"/>
          <w:citation/>
        </w:sdtPr>
        <w:sdtEndPr/>
        <w:sdtContent>
          <w:r>
            <w:rPr>
              <w:rFonts w:eastAsia="Times New Roman"/>
              <w:color w:val="000000"/>
              <w:shd w:val="clear" w:color="auto" w:fill="FFFFFF"/>
            </w:rPr>
            <w:fldChar w:fldCharType="begin"/>
          </w:r>
          <w:r>
            <w:rPr>
              <w:rFonts w:eastAsia="Times New Roman"/>
              <w:color w:val="000000"/>
              <w:shd w:val="clear" w:color="auto" w:fill="FFFFFF"/>
              <w:lang w:val="en-US"/>
            </w:rPr>
            <w:instrText xml:space="preserve"> CITATION Inv14 \l 1033 </w:instrText>
          </w:r>
          <w:r>
            <w:rPr>
              <w:rFonts w:eastAsia="Times New Roman"/>
              <w:color w:val="000000"/>
              <w:shd w:val="clear" w:color="auto" w:fill="FFFFFF"/>
            </w:rPr>
            <w:fldChar w:fldCharType="separate"/>
          </w:r>
          <w:r>
            <w:rPr>
              <w:rFonts w:eastAsia="Times New Roman"/>
              <w:noProof/>
              <w:color w:val="000000"/>
              <w:shd w:val="clear" w:color="auto" w:fill="FFFFFF"/>
              <w:lang w:val="en-US"/>
            </w:rPr>
            <w:t>(Investment &amp; Finance, 2014)</w:t>
          </w:r>
          <w:r>
            <w:rPr>
              <w:rFonts w:eastAsia="Times New Roman"/>
              <w:color w:val="000000"/>
              <w:shd w:val="clear" w:color="auto" w:fill="FFFFFF"/>
            </w:rPr>
            <w:fldChar w:fldCharType="end"/>
          </w:r>
        </w:sdtContent>
      </w:sdt>
      <w:r>
        <w:rPr>
          <w:rFonts w:eastAsia="Times New Roman"/>
          <w:color w:val="000000"/>
          <w:shd w:val="clear" w:color="auto" w:fill="FFFFFF"/>
        </w:rPr>
        <w:t>.</w:t>
      </w:r>
    </w:p>
    <w:p w14:paraId="53B15836" w14:textId="03B3F73A" w:rsidR="006B65D1" w:rsidRDefault="006B65D1" w:rsidP="00046B89">
      <w:pPr>
        <w:spacing w:line="240" w:lineRule="auto"/>
      </w:pPr>
      <w:r w:rsidRPr="002B6472">
        <w:t xml:space="preserve">The </w:t>
      </w:r>
      <w:r>
        <w:t xml:space="preserve">model begins with the government or the Majlis Agama Islam Negeri (MAIN) or State Islamic Religious Council first identifying a specific social or economic issue that needs attention, like the issues of affordable housing and unemployment. The waqf development will then be aimed to be an income-generating asset while solving the intended social problem. This is similar to the Seetee Aishah waqf development, where the development of </w:t>
      </w:r>
      <w:r>
        <w:lastRenderedPageBreak/>
        <w:t xml:space="preserve">the waqf land helped to provide affordable housings in Pulau Pinang, Malaysia </w:t>
      </w:r>
      <w:r>
        <w:fldChar w:fldCharType="begin" w:fldLock="1"/>
      </w:r>
      <w:r>
        <w:instrText>ADDIN CSL_CITATION { "citationItems" : [ { "id" : "ITEM-1", "itemData" : { "author" : [ { "dropping-particle" : "", "family" : "Hydzulkifli", "given" : "Hashim Omar", "non-dropping-particle" : "", "parse-names" : false, "suffix" : "" }, { "dropping-particle" : "", "family" : "Asmak", "given" : "Ab Rahman", "non-dropping-particle" : "", "parse-names" : false, "suffix" : "" }, { "dropping-particle" : "", "family" : "Ahmad Rizal", "given" : "Mazlan", "non-dropping-particle" : "", "parse-names" : false, "suffix" : "" }, { "dropping-particle" : "", "family" : "Azizi", "given" : "Abu Bakar", "non-dropping-particle" : "", "parse-names" : false, "suffix" : "" }, { "dropping-particle" : "", "family" : "Suhaila", "given" : "Abd. Kadir", "non-dropping-particle" : "", "parse-names" : false, "suffix" : "" } ], "container-title" : "Journal of Human Development and Communication", "id" : "ITEM-1", "issued" : { "date-parts" : [ [ "2013" ] ] }, "page" : "45-59", "title" : "The Structuring for Development and Management Waqf Properties in Malaysia Ibn al-Ath \u012b r stated that originally the word asset ( m \u0101 l ) has been used amongst and silver 1 . The scope of meaning for the term m \u0101 l has been extended to all to physical goo", "type" : "article-journal", "volume" : "2" }, "uris" : [ "http://www.mendeley.com/documents/?uuid=f4f84d32-c9f0-41a3-b479-8eaedf733646" ] } ], "mendeley" : { "formattedCitation" : "(Hydzulkifli, Asmak, Ahmad Rizal, Azizi, &amp; Suhaila, 2013)", "plainTextFormattedCitation" : "(Hydzulkifli, Asmak, Ahmad Rizal, Azizi, &amp; Suhaila, 2013)", "previouslyFormattedCitation" : "(Hydzulkifli, Asmak, Ahmad Rizal, Azizi, &amp; Suhaila, 2013)" }, "properties" : { "noteIndex" : 0 }, "schema" : "https://github.com/citation-style-language/schema/raw/master/csl-citation.json" }</w:instrText>
      </w:r>
      <w:r>
        <w:fldChar w:fldCharType="separate"/>
      </w:r>
      <w:r w:rsidRPr="00E859E2">
        <w:rPr>
          <w:noProof/>
        </w:rPr>
        <w:t>(Hydzulkifli, Asmak, Ahmad Rizal, Azizi, &amp; Suhaila, 2013)</w:t>
      </w:r>
      <w:r>
        <w:fldChar w:fldCharType="end"/>
      </w:r>
      <w:r>
        <w:t>.</w:t>
      </w:r>
    </w:p>
    <w:p w14:paraId="18EA60B8" w14:textId="1963068A" w:rsidR="00046B89" w:rsidRDefault="00046B89" w:rsidP="00046B89">
      <w:pPr>
        <w:spacing w:line="240" w:lineRule="auto"/>
      </w:pPr>
      <w:r>
        <w:t>Figure 4 and the explanations below provide the details on the proposed Model 2.</w:t>
      </w:r>
    </w:p>
    <w:p w14:paraId="2BB36D15" w14:textId="18D30E3F" w:rsidR="00046B89" w:rsidRDefault="00046B89" w:rsidP="00046B89">
      <w:pPr>
        <w:keepNext/>
        <w:spacing w:line="240" w:lineRule="auto"/>
      </w:pPr>
      <w:r>
        <w:rPr>
          <w:noProof/>
          <w:lang w:val="en-MY" w:eastAsia="en-MY"/>
        </w:rPr>
        <w:drawing>
          <wp:inline distT="0" distB="0" distL="0" distR="0" wp14:anchorId="4F1279B9" wp14:editId="3381E24A">
            <wp:extent cx="5705475" cy="2390775"/>
            <wp:effectExtent l="0" t="0" r="9525" b="9525"/>
            <wp:docPr id="4" name="Picture 4" descr="../../../../Desktop/Screen%20Shot%202017-07-31%20at%201.09.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7-07-31%20at%201.09.3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2390775"/>
                    </a:xfrm>
                    <a:prstGeom prst="rect">
                      <a:avLst/>
                    </a:prstGeom>
                    <a:noFill/>
                    <a:ln>
                      <a:noFill/>
                    </a:ln>
                  </pic:spPr>
                </pic:pic>
              </a:graphicData>
            </a:graphic>
          </wp:inline>
        </w:drawing>
      </w:r>
    </w:p>
    <w:p w14:paraId="1D6C9878" w14:textId="013A4401" w:rsidR="00046B89" w:rsidRDefault="00046B89" w:rsidP="00046B89">
      <w:pPr>
        <w:pStyle w:val="Caption"/>
        <w:spacing w:after="0"/>
        <w:jc w:val="both"/>
        <w:rPr>
          <w:color w:val="000000" w:themeColor="text1"/>
          <w:sz w:val="21"/>
        </w:rPr>
      </w:pPr>
      <w:bookmarkStart w:id="22" w:name="_Toc491650067"/>
      <w:r>
        <w:rPr>
          <w:color w:val="000000" w:themeColor="text1"/>
          <w:sz w:val="21"/>
        </w:rPr>
        <w:t xml:space="preserve">Figure </w:t>
      </w:r>
      <w:r>
        <w:fldChar w:fldCharType="begin"/>
      </w:r>
      <w:r>
        <w:rPr>
          <w:color w:val="000000" w:themeColor="text1"/>
          <w:sz w:val="21"/>
        </w:rPr>
        <w:instrText xml:space="preserve"> SEQ Figure \* ARABIC </w:instrText>
      </w:r>
      <w:r>
        <w:fldChar w:fldCharType="separate"/>
      </w:r>
      <w:r w:rsidR="00864D1C">
        <w:rPr>
          <w:noProof/>
          <w:color w:val="000000" w:themeColor="text1"/>
          <w:sz w:val="21"/>
        </w:rPr>
        <w:t>4</w:t>
      </w:r>
      <w:r>
        <w:fldChar w:fldCharType="end"/>
      </w:r>
      <w:r>
        <w:rPr>
          <w:color w:val="000000" w:themeColor="text1"/>
          <w:sz w:val="21"/>
        </w:rPr>
        <w:t>: SRI Sukuk model based on Musharakah</w:t>
      </w:r>
      <w:bookmarkEnd w:id="22"/>
    </w:p>
    <w:p w14:paraId="6A220543" w14:textId="77777777" w:rsidR="00046B89" w:rsidRDefault="00046B89" w:rsidP="00046B89">
      <w:pPr>
        <w:spacing w:line="240" w:lineRule="auto"/>
      </w:pPr>
    </w:p>
    <w:p w14:paraId="3630DB18" w14:textId="77777777" w:rsidR="00046B89" w:rsidRDefault="00046B89" w:rsidP="00046B89">
      <w:pPr>
        <w:spacing w:line="240" w:lineRule="auto"/>
      </w:pPr>
      <w:r>
        <w:t>In this model, Majlis Agama Islam Negeri (MAIN) and Company X enter into a Musharakah (profit and loss sharing partnership) to develop waqf properties/assets.</w:t>
      </w:r>
    </w:p>
    <w:p w14:paraId="0B51F5F3" w14:textId="77777777" w:rsidR="00046B89" w:rsidRDefault="00046B89" w:rsidP="00046B89">
      <w:pPr>
        <w:numPr>
          <w:ilvl w:val="0"/>
          <w:numId w:val="48"/>
        </w:numPr>
        <w:spacing w:after="0" w:line="240" w:lineRule="auto"/>
      </w:pPr>
      <w:r>
        <w:t>Company X establishes SPV.</w:t>
      </w:r>
    </w:p>
    <w:p w14:paraId="625510AA" w14:textId="77777777" w:rsidR="00046B89" w:rsidRDefault="00046B89" w:rsidP="00046B89">
      <w:pPr>
        <w:numPr>
          <w:ilvl w:val="0"/>
          <w:numId w:val="48"/>
        </w:numPr>
        <w:spacing w:after="0" w:line="240" w:lineRule="auto"/>
      </w:pPr>
      <w:r>
        <w:t>SPV issues SRI sukuk.</w:t>
      </w:r>
    </w:p>
    <w:p w14:paraId="746D3C18" w14:textId="77777777" w:rsidR="00046B89" w:rsidRDefault="00046B89" w:rsidP="00046B89">
      <w:pPr>
        <w:numPr>
          <w:ilvl w:val="0"/>
          <w:numId w:val="48"/>
        </w:numPr>
        <w:spacing w:after="0" w:line="240" w:lineRule="auto"/>
      </w:pPr>
      <w:r>
        <w:t>Investors provide the cash.</w:t>
      </w:r>
    </w:p>
    <w:p w14:paraId="1DA76BF7" w14:textId="77777777" w:rsidR="00046B89" w:rsidRDefault="00046B89" w:rsidP="00046B89">
      <w:pPr>
        <w:numPr>
          <w:ilvl w:val="0"/>
          <w:numId w:val="48"/>
        </w:numPr>
        <w:spacing w:after="0" w:line="240" w:lineRule="auto"/>
      </w:pPr>
      <w:r>
        <w:t xml:space="preserve">SPV gives the cash proceed to the Musharakah. </w:t>
      </w:r>
    </w:p>
    <w:p w14:paraId="3AE5B753" w14:textId="77777777" w:rsidR="00046B89" w:rsidRDefault="00046B89" w:rsidP="00046B89">
      <w:pPr>
        <w:numPr>
          <w:ilvl w:val="0"/>
          <w:numId w:val="48"/>
        </w:numPr>
        <w:spacing w:after="0" w:line="240" w:lineRule="auto"/>
      </w:pPr>
      <w:r>
        <w:t>Together, they develop the waqf properties/assets.</w:t>
      </w:r>
    </w:p>
    <w:p w14:paraId="19B6C7C4" w14:textId="77777777" w:rsidR="00046B89" w:rsidRDefault="00046B89" w:rsidP="00046B89">
      <w:pPr>
        <w:numPr>
          <w:ilvl w:val="0"/>
          <w:numId w:val="48"/>
        </w:numPr>
        <w:spacing w:after="0" w:line="240" w:lineRule="auto"/>
      </w:pPr>
      <w:r>
        <w:t>Income gained from the development of waqf properties/assets will be shared among the partners.</w:t>
      </w:r>
    </w:p>
    <w:p w14:paraId="141A712A" w14:textId="77777777" w:rsidR="00046B89" w:rsidRDefault="00046B89" w:rsidP="00046B89">
      <w:pPr>
        <w:numPr>
          <w:ilvl w:val="0"/>
          <w:numId w:val="48"/>
        </w:numPr>
        <w:spacing w:after="0" w:line="240" w:lineRule="auto"/>
      </w:pPr>
      <w:r>
        <w:t xml:space="preserve">Company X will share the income with investors based on an agreed percentage. </w:t>
      </w:r>
    </w:p>
    <w:p w14:paraId="6E3F7B29" w14:textId="1464CB68" w:rsidR="009A3C54" w:rsidRDefault="009A3C54" w:rsidP="00046B89">
      <w:pPr>
        <w:spacing w:after="0" w:line="240" w:lineRule="auto"/>
      </w:pPr>
    </w:p>
    <w:p w14:paraId="7076F2BD" w14:textId="10C51E69" w:rsidR="009A3C54" w:rsidRDefault="009A3C54" w:rsidP="00046B89">
      <w:pPr>
        <w:spacing w:line="240" w:lineRule="auto"/>
      </w:pPr>
      <w:r>
        <w:t xml:space="preserve">The proposed obligor for this model is the Government or MAIN based on two reasons. The first reason is having the government as the obligor has proven to increase the worthiness and rating of the sukuk and secondly, as the development of waqf would benefit the society, the </w:t>
      </w:r>
      <w:r w:rsidRPr="005D5C5A">
        <w:t xml:space="preserve">responsibility of providing these social services </w:t>
      </w:r>
      <w:r>
        <w:t>should be</w:t>
      </w:r>
      <w:r w:rsidRPr="005D5C5A">
        <w:t xml:space="preserve"> taken upon by the government as the caretaker of its people</w:t>
      </w:r>
      <w:r>
        <w:t>. The obligor is needed in the models to execute the obligations of the issuer (SPV) should it fails to observe.</w:t>
      </w:r>
    </w:p>
    <w:p w14:paraId="44AD5B96" w14:textId="4ACF22D9" w:rsidR="009A3C54" w:rsidRDefault="009A3C54" w:rsidP="00046B89">
      <w:pPr>
        <w:spacing w:line="240" w:lineRule="auto"/>
      </w:pPr>
      <w:r>
        <w:t>The researcher is also keen on having the r</w:t>
      </w:r>
      <w:r w:rsidRPr="006F131F">
        <w:t xml:space="preserve">eturn mechanism to investors </w:t>
      </w:r>
      <w:r>
        <w:t xml:space="preserve">be </w:t>
      </w:r>
      <w:r w:rsidRPr="006F131F">
        <w:t>based on KPI</w:t>
      </w:r>
      <w:r>
        <w:t xml:space="preserve">s. Unlike the SRI Sukuk Ihsan that has a step-down returns mechanism as described in </w:t>
      </w:r>
      <w:r w:rsidR="00046B89">
        <w:t>the previous section</w:t>
      </w:r>
      <w:r>
        <w:t xml:space="preserve">, the researcher proposes for a step-up returns structure where investors would be getting </w:t>
      </w:r>
      <w:r w:rsidRPr="006F131F">
        <w:t>higher returns if KPIs are achieved and lower returns if KPIs are not achieved.</w:t>
      </w:r>
      <w:r>
        <w:t xml:space="preserve"> This is so that it becomes a motivation for all parties to ensure the success of the waqf development project. </w:t>
      </w:r>
      <w:r w:rsidRPr="006F131F">
        <w:t xml:space="preserve">The KPIs can be anything set and agreed by all parties. Examples include </w:t>
      </w:r>
      <w:r>
        <w:t>setting the number of w</w:t>
      </w:r>
      <w:r w:rsidRPr="006F131F">
        <w:t xml:space="preserve">aqf </w:t>
      </w:r>
      <w:r>
        <w:t>properties and assets</w:t>
      </w:r>
      <w:r w:rsidRPr="006F131F">
        <w:t xml:space="preserve"> that should be developed </w:t>
      </w:r>
      <w:r>
        <w:t xml:space="preserve">by Company X </w:t>
      </w:r>
      <w:r w:rsidRPr="006F131F">
        <w:t xml:space="preserve">within a certain period </w:t>
      </w:r>
      <w:r>
        <w:t xml:space="preserve">of time </w:t>
      </w:r>
      <w:r w:rsidRPr="006F131F">
        <w:t>and that th</w:t>
      </w:r>
      <w:r>
        <w:t>e development happening on the w</w:t>
      </w:r>
      <w:r w:rsidRPr="006F131F">
        <w:t xml:space="preserve">aqf should be income generating </w:t>
      </w:r>
      <w:r>
        <w:t xml:space="preserve">and </w:t>
      </w:r>
      <w:r w:rsidRPr="006F131F">
        <w:t>benefitting the community</w:t>
      </w:r>
      <w:r>
        <w:t xml:space="preserve">. On top of that, replicating the </w:t>
      </w:r>
      <w:r>
        <w:lastRenderedPageBreak/>
        <w:t>SRI Sukuk Ihsan, the three models also provide</w:t>
      </w:r>
      <w:r w:rsidRPr="006F131F">
        <w:t xml:space="preserve"> the sukukholders </w:t>
      </w:r>
      <w:r>
        <w:t xml:space="preserve">the </w:t>
      </w:r>
      <w:r w:rsidRPr="006F131F">
        <w:t xml:space="preserve">“option to waive” the capital and </w:t>
      </w:r>
      <w:r>
        <w:t>returns from</w:t>
      </w:r>
      <w:r w:rsidRPr="006F131F">
        <w:t xml:space="preserve"> the sukuk</w:t>
      </w:r>
      <w:r>
        <w:t xml:space="preserve">, hence </w:t>
      </w:r>
      <w:r w:rsidRPr="006F131F">
        <w:t>convert</w:t>
      </w:r>
      <w:r>
        <w:t>ing</w:t>
      </w:r>
      <w:r w:rsidRPr="006F131F">
        <w:t xml:space="preserve"> their investm</w:t>
      </w:r>
      <w:r>
        <w:t xml:space="preserve">ent in the sukuk into donations. </w:t>
      </w:r>
      <w:r w:rsidRPr="006F131F">
        <w:t xml:space="preserve">By doing so, they are entitled </w:t>
      </w:r>
      <w:r>
        <w:t>for</w:t>
      </w:r>
      <w:r w:rsidRPr="006F131F">
        <w:t xml:space="preserve"> tax vouchers </w:t>
      </w:r>
      <w:r>
        <w:t xml:space="preserve">of </w:t>
      </w:r>
      <w:r w:rsidRPr="006F131F">
        <w:t>an amount equal to the amount waived or the reduction in the nominal value of their respective sukukholdings</w:t>
      </w:r>
      <w:r>
        <w:t>.</w:t>
      </w:r>
    </w:p>
    <w:p w14:paraId="04E30C56" w14:textId="7DD105CF" w:rsidR="009A3C54" w:rsidRDefault="009A3C54" w:rsidP="00046B89">
      <w:pPr>
        <w:spacing w:line="240" w:lineRule="auto"/>
      </w:pPr>
      <w:r>
        <w:t xml:space="preserve">The researcher sought the interviewees’ feedback on the proposed </w:t>
      </w:r>
      <w:r w:rsidR="00065C38">
        <w:t>Musharakah</w:t>
      </w:r>
      <w:r>
        <w:t xml:space="preserve"> SRI Sukuk model and its feasibility to be implemented in Malaysia.</w:t>
      </w:r>
    </w:p>
    <w:p w14:paraId="1C3A1CCB" w14:textId="33DC0ADA" w:rsidR="006B65D1" w:rsidRDefault="0072053D" w:rsidP="00046B89">
      <w:pPr>
        <w:pStyle w:val="Heading2"/>
      </w:pPr>
      <w:r>
        <w:t xml:space="preserve">Feedback </w:t>
      </w:r>
      <w:r w:rsidR="009A3C54">
        <w:t>from Interview</w:t>
      </w:r>
    </w:p>
    <w:p w14:paraId="3DA1CC81" w14:textId="77777777" w:rsidR="009A3C54" w:rsidRPr="002D07E2" w:rsidRDefault="009A3C54" w:rsidP="00046B89">
      <w:pPr>
        <w:pStyle w:val="ListParagraph"/>
        <w:numPr>
          <w:ilvl w:val="0"/>
          <w:numId w:val="46"/>
        </w:numPr>
        <w:spacing w:line="240" w:lineRule="auto"/>
        <w:rPr>
          <w:b/>
          <w:bCs/>
        </w:rPr>
      </w:pPr>
      <w:r w:rsidRPr="002D07E2">
        <w:rPr>
          <w:b/>
          <w:bCs/>
        </w:rPr>
        <w:t>Shari’ah Contract</w:t>
      </w:r>
    </w:p>
    <w:p w14:paraId="76C651D5" w14:textId="4A1989A7" w:rsidR="0072053D" w:rsidRDefault="009A3C54" w:rsidP="009642D3">
      <w:pPr>
        <w:spacing w:line="240" w:lineRule="auto"/>
      </w:pPr>
      <w:r>
        <w:t>G</w:t>
      </w:r>
      <w:r w:rsidR="0072053D" w:rsidRPr="006F131F">
        <w:t xml:space="preserve">enerally, all the respondents are agreeable with </w:t>
      </w:r>
      <w:r w:rsidR="0072053D">
        <w:t xml:space="preserve">the </w:t>
      </w:r>
      <w:r w:rsidR="0072053D" w:rsidRPr="006F131F">
        <w:t>chose</w:t>
      </w:r>
      <w:r>
        <w:t xml:space="preserve">n underlying Shari’ah contract </w:t>
      </w:r>
      <w:r w:rsidR="0072053D">
        <w:t xml:space="preserve">for the </w:t>
      </w:r>
      <w:r>
        <w:t xml:space="preserve">model </w:t>
      </w:r>
      <w:r w:rsidR="0072053D">
        <w:t xml:space="preserve">in terms of </w:t>
      </w:r>
      <w:r>
        <w:t>its</w:t>
      </w:r>
      <w:r w:rsidR="0072053D">
        <w:t xml:space="preserve"> Shari’ah compliancy </w:t>
      </w:r>
      <w:r w:rsidR="0072053D" w:rsidRPr="006F131F">
        <w:t xml:space="preserve">as </w:t>
      </w:r>
      <w:r w:rsidR="00065C38">
        <w:t>Musharakah</w:t>
      </w:r>
      <w:r>
        <w:t xml:space="preserve"> is an approved contract</w:t>
      </w:r>
      <w:r w:rsidR="0072053D" w:rsidRPr="006F131F">
        <w:t xml:space="preserve"> under the Securities Commission’s Sukuk Guidelines. </w:t>
      </w:r>
    </w:p>
    <w:p w14:paraId="5F33C987" w14:textId="1D44E7EF" w:rsidR="00046B89" w:rsidRDefault="00046B89" w:rsidP="009642D3">
      <w:pPr>
        <w:spacing w:line="240" w:lineRule="auto"/>
      </w:pPr>
      <w:r>
        <w:t xml:space="preserve">However, respondent B1 is of the opinion that while MAIN and Company X can partner in a Musharakah partnership, the relationship between the SPV and the investors should be a Mudarabah relationship, where the investors are only the cash provider (rabbul maal), but business management is in the hand of the company. Meanwhile, D1 prefers for an Ijarah arrangement to be between SPV and investors, as according to him, this would appeal to investors more than an equity-based arrangement. This suggestion is consistent with the Sukuk Musharakah arrangement for the Bencoolen Waqf project, where the return to investors are based on Ijarah. </w:t>
      </w:r>
    </w:p>
    <w:p w14:paraId="304877A8" w14:textId="16944C70" w:rsidR="00046B89" w:rsidRPr="006F131F" w:rsidRDefault="00046B89" w:rsidP="009642D3">
      <w:pPr>
        <w:spacing w:line="240" w:lineRule="auto"/>
      </w:pPr>
      <w:r>
        <w:t xml:space="preserve">Respondent C2, on the other hand, thinks that a Mudarabah structure is more preferred instead of a Musharakah for M2 as a whole, particularly between MAIN and Company X. This is because as a government agency, MAIN would be highly reluctant to take in losses from a Musharakah arrangement. While in Mudarabah, the loss will be borne solely by the corporation or rabbul maal. </w:t>
      </w:r>
    </w:p>
    <w:p w14:paraId="66867106" w14:textId="77777777" w:rsidR="009A3C54" w:rsidRPr="002D07E2" w:rsidRDefault="009A3C54" w:rsidP="00046B89">
      <w:pPr>
        <w:pStyle w:val="ListParagraph"/>
        <w:numPr>
          <w:ilvl w:val="0"/>
          <w:numId w:val="46"/>
        </w:numPr>
        <w:spacing w:line="240" w:lineRule="auto"/>
        <w:rPr>
          <w:b/>
          <w:bCs/>
        </w:rPr>
      </w:pPr>
      <w:r w:rsidRPr="002D07E2">
        <w:rPr>
          <w:b/>
          <w:bCs/>
        </w:rPr>
        <w:t>Return Mechanism</w:t>
      </w:r>
    </w:p>
    <w:p w14:paraId="784D8700" w14:textId="5EE66654" w:rsidR="0072053D" w:rsidRDefault="0072053D" w:rsidP="009642D3">
      <w:pPr>
        <w:spacing w:line="240" w:lineRule="auto"/>
        <w:ind w:right="-52"/>
      </w:pPr>
      <w:r>
        <w:t xml:space="preserve">The responses for this section are divided into two parts. </w:t>
      </w:r>
      <w:r w:rsidR="00902146">
        <w:t>Part one discusses</w:t>
      </w:r>
      <w:r>
        <w:t xml:space="preserve"> when should the returns be given to the investors given that the development project will take time, while </w:t>
      </w:r>
      <w:r w:rsidR="00902146">
        <w:t>part two</w:t>
      </w:r>
      <w:r>
        <w:t xml:space="preserve"> discusses the respondents’ comments on the KPI return mechanism.</w:t>
      </w:r>
    </w:p>
    <w:p w14:paraId="55BABF7A" w14:textId="52E879F0" w:rsidR="0072053D" w:rsidRPr="006F131F" w:rsidRDefault="002D07E2" w:rsidP="009642D3">
      <w:pPr>
        <w:spacing w:line="240" w:lineRule="auto"/>
        <w:ind w:right="-52"/>
      </w:pPr>
      <w:r>
        <w:t>All</w:t>
      </w:r>
      <w:r w:rsidR="0072053D" w:rsidRPr="006F131F">
        <w:t xml:space="preserve"> respondents agreed that the disbursement of returns to investors do not have to wait until the completion of the development project, which might take a few years. It can be given since year one via a contract like </w:t>
      </w:r>
      <w:r w:rsidR="00065C38">
        <w:t>Musharakah</w:t>
      </w:r>
      <w:r w:rsidR="0072053D" w:rsidRPr="006F131F">
        <w:t xml:space="preserve"> Mawsufah Fi Dhimmah, or also known as forward leasing, between Company X </w:t>
      </w:r>
      <w:r w:rsidR="0072053D">
        <w:t>and</w:t>
      </w:r>
      <w:r w:rsidR="0072053D" w:rsidRPr="006F131F">
        <w:t xml:space="preserve"> the customers. </w:t>
      </w:r>
      <w:r w:rsidR="0072053D">
        <w:t xml:space="preserve">Besides forward leasing, </w:t>
      </w:r>
      <w:r w:rsidR="0072053D" w:rsidRPr="006F131F">
        <w:t xml:space="preserve">according to respondent B1, there could also </w:t>
      </w:r>
      <w:r w:rsidR="0072053D">
        <w:t>be</w:t>
      </w:r>
      <w:r w:rsidR="0072053D" w:rsidRPr="006F131F">
        <w:t xml:space="preserve"> a </w:t>
      </w:r>
      <w:r w:rsidR="0072053D" w:rsidRPr="0072053D">
        <w:rPr>
          <w:i/>
        </w:rPr>
        <w:t>“technical arrangement”</w:t>
      </w:r>
      <w:r w:rsidR="0072053D" w:rsidRPr="006F131F">
        <w:t xml:space="preserve"> that set out payment to be made once the development project starts. Payment is made based on the progress made, which is similar to an Istisn</w:t>
      </w:r>
      <w:r w:rsidR="0072053D">
        <w:t>a’ arrangement, but not quite. According to him, a</w:t>
      </w:r>
      <w:r w:rsidR="0072053D" w:rsidRPr="006F131F">
        <w:t xml:space="preserve"> </w:t>
      </w:r>
      <w:r w:rsidR="0072053D" w:rsidRPr="0072053D">
        <w:rPr>
          <w:i/>
        </w:rPr>
        <w:t>“technical arrangement”</w:t>
      </w:r>
      <w:r w:rsidR="0072053D" w:rsidRPr="006F131F">
        <w:t xml:space="preserve"> is easier to be arranged compared to having an additional standalone contract </w:t>
      </w:r>
      <w:r w:rsidR="0072053D">
        <w:t xml:space="preserve">like Istisna’ </w:t>
      </w:r>
      <w:r w:rsidR="0072053D" w:rsidRPr="006F131F">
        <w:t xml:space="preserve">which could </w:t>
      </w:r>
      <w:r w:rsidR="0072053D">
        <w:t xml:space="preserve">have Shari’ah implications. Multiple contracts in one transaction is a very delicate matter which needs to be assessed carefully to avoid unnecessary future implications </w:t>
      </w:r>
      <w:r w:rsidR="0072053D">
        <w:fldChar w:fldCharType="begin" w:fldLock="1"/>
      </w:r>
      <w:r w:rsidR="0072053D">
        <w:instrText>ADDIN CSL_CITATION { "citationItems" : [ { "id" : "ITEM-1", "itemData" : { "DOI" : "http://dx.doi.org/10.15575/ijni.v4i1.1184", "author" : [ { "dropping-particle" : "", "family" : "Lateh", "given" : "Bukhoree", "non-dropping-particle" : "", "parse-names" : false, "suffix" : "" } ], "container-title" : "International Journal of Nusantara Islam", "id" : "ITEM-1", "issue" : "01", "issued" : { "date-parts" : [ [ "2016" ] ] }, "page" : "41-48", "title" : "Multiple Contract and Fatwa of National Sharia Council", "type" : "article-journal", "volume" : "04" }, "uris" : [ "http://www.mendeley.com/documents/?uuid=b5dc60aa-85b6-49f8-bf70-9fc920f618f2" ] } ], "mendeley" : { "formattedCitation" : "(Lateh, 2016)", "plainTextFormattedCitation" : "(Lateh, 2016)", "previouslyFormattedCitation" : "(Lateh, 2016)" }, "properties" : { "noteIndex" : 0 }, "schema" : "https://github.com/citation-style-language/schema/raw/master/csl-citation.json" }</w:instrText>
      </w:r>
      <w:r w:rsidR="0072053D">
        <w:fldChar w:fldCharType="separate"/>
      </w:r>
      <w:r w:rsidR="0072053D" w:rsidRPr="00184412">
        <w:rPr>
          <w:noProof/>
        </w:rPr>
        <w:t>(Lateh, 2016)</w:t>
      </w:r>
      <w:r w:rsidR="0072053D">
        <w:fldChar w:fldCharType="end"/>
      </w:r>
      <w:r w:rsidR="0072053D">
        <w:t>.</w:t>
      </w:r>
    </w:p>
    <w:p w14:paraId="4D86E484" w14:textId="397A6386" w:rsidR="0072053D" w:rsidRPr="006F131F" w:rsidRDefault="0072053D" w:rsidP="009642D3">
      <w:pPr>
        <w:spacing w:line="240" w:lineRule="auto"/>
        <w:ind w:right="-52"/>
      </w:pPr>
      <w:r w:rsidRPr="006F131F">
        <w:t>As for having the KPIs included in the return mechanism, a mixed response was received from the respondents. R</w:t>
      </w:r>
      <w:r>
        <w:t>espondent A</w:t>
      </w:r>
      <w:r w:rsidRPr="006F131F">
        <w:t xml:space="preserve">1 does not see the need of having KPIs embedded in the </w:t>
      </w:r>
      <w:r w:rsidRPr="006F131F">
        <w:lastRenderedPageBreak/>
        <w:t xml:space="preserve">return mechanism. For </w:t>
      </w:r>
      <w:r w:rsidR="002D07E2">
        <w:t>this</w:t>
      </w:r>
      <w:r w:rsidR="00046B89">
        <w:t xml:space="preserve"> a Musharakah</w:t>
      </w:r>
      <w:r w:rsidR="002D07E2">
        <w:t xml:space="preserve"> model, </w:t>
      </w:r>
      <w:r w:rsidR="00046B89">
        <w:t>the return to investors is dependent on the return received from the business</w:t>
      </w:r>
      <w:r w:rsidR="002D07E2">
        <w:t xml:space="preserve">, not necessarily the KPIs. </w:t>
      </w:r>
      <w:r w:rsidRPr="006F131F">
        <w:t xml:space="preserve">Similarly, according to </w:t>
      </w:r>
      <w:r>
        <w:t xml:space="preserve">C2, </w:t>
      </w:r>
      <w:r w:rsidR="002D07E2">
        <w:t xml:space="preserve">KPIs are not needed </w:t>
      </w:r>
      <w:r w:rsidRPr="006F131F">
        <w:t>because the interests of all parties are already aligned. All parties are already together and motivated to ensure the success of the project so that returns are maximised.</w:t>
      </w:r>
      <w:r>
        <w:t xml:space="preserve"> C1 then added that if anything, </w:t>
      </w:r>
      <w:r w:rsidRPr="006F131F">
        <w:t xml:space="preserve">the existence of KPIs </w:t>
      </w:r>
      <w:r>
        <w:t>would be a turn-off to investors. Meanwhile, D1 is of the opinion that</w:t>
      </w:r>
      <w:r w:rsidRPr="006F131F">
        <w:t xml:space="preserve"> KPIs would work best </w:t>
      </w:r>
      <w:r>
        <w:t>for non-</w:t>
      </w:r>
      <w:r w:rsidRPr="006F131F">
        <w:t>income generating project</w:t>
      </w:r>
      <w:r>
        <w:t>s</w:t>
      </w:r>
      <w:r w:rsidRPr="006F131F">
        <w:t xml:space="preserve"> like the </w:t>
      </w:r>
      <w:r>
        <w:t xml:space="preserve">Trust School project by Ihsan, which is not the same as the </w:t>
      </w:r>
      <w:r w:rsidR="002D07E2">
        <w:t>proposed model</w:t>
      </w:r>
      <w:r>
        <w:t xml:space="preserve"> which are aimed to finance income generating projects.</w:t>
      </w:r>
    </w:p>
    <w:p w14:paraId="2094FE37" w14:textId="6A262698" w:rsidR="0072053D" w:rsidRPr="002D07E2" w:rsidRDefault="002D07E2" w:rsidP="00046B89">
      <w:pPr>
        <w:pStyle w:val="ListParagraph"/>
        <w:numPr>
          <w:ilvl w:val="0"/>
          <w:numId w:val="46"/>
        </w:numPr>
        <w:spacing w:line="240" w:lineRule="auto"/>
        <w:rPr>
          <w:rFonts w:eastAsiaTheme="majorEastAsia"/>
          <w:b/>
          <w:color w:val="000000" w:themeColor="text1"/>
          <w:spacing w:val="6"/>
          <w:kern w:val="28"/>
        </w:rPr>
      </w:pPr>
      <w:r>
        <w:rPr>
          <w:rFonts w:eastAsiaTheme="majorEastAsia"/>
          <w:b/>
          <w:color w:val="000000" w:themeColor="text1"/>
          <w:spacing w:val="6"/>
          <w:kern w:val="28"/>
        </w:rPr>
        <w:t>Obligor</w:t>
      </w:r>
    </w:p>
    <w:p w14:paraId="749F9788" w14:textId="1F7C8F92" w:rsidR="0072053D" w:rsidRDefault="0072053D" w:rsidP="009642D3">
      <w:pPr>
        <w:spacing w:line="240" w:lineRule="auto"/>
      </w:pPr>
      <w:r>
        <w:t xml:space="preserve">The interviewees were asked to comment on the choice of obligor proposed by the researcher, which is the government or MAIN. </w:t>
      </w:r>
      <w:r w:rsidRPr="006F131F">
        <w:t xml:space="preserve">All respondents are agreeable to the choice of </w:t>
      </w:r>
      <w:r>
        <w:t>government as the obligor and think it would be the most ideal arrangement. However, according to r</w:t>
      </w:r>
      <w:r w:rsidRPr="006F131F">
        <w:t>espondent C1, in practice,</w:t>
      </w:r>
      <w:r>
        <w:t xml:space="preserve"> </w:t>
      </w:r>
      <w:r w:rsidRPr="0072053D">
        <w:rPr>
          <w:i/>
        </w:rPr>
        <w:t>“there is zero chance”</w:t>
      </w:r>
      <w:r w:rsidRPr="006F131F">
        <w:t xml:space="preserve"> of getting the government to be the obligor. Echoing C1’s statement, C2 shared one of the reasons</w:t>
      </w:r>
      <w:r>
        <w:t xml:space="preserve"> for that</w:t>
      </w:r>
      <w:r w:rsidRPr="006F131F">
        <w:t xml:space="preserve"> is because government receives proposals all the time but due to its limited budget, only promising or projects that have shown success in the past would be more likely to be considered. </w:t>
      </w:r>
      <w:r>
        <w:t>Expectedly, it</w:t>
      </w:r>
      <w:r w:rsidRPr="006F131F">
        <w:t xml:space="preserve"> is trying to reduce its contingent liability as most governments do.</w:t>
      </w:r>
    </w:p>
    <w:p w14:paraId="50B18C06" w14:textId="63EDD42A" w:rsidR="0072053D" w:rsidRDefault="0072053D" w:rsidP="009642D3">
      <w:pPr>
        <w:spacing w:line="240" w:lineRule="auto"/>
      </w:pPr>
      <w:r>
        <w:t>On the other hand, a</w:t>
      </w:r>
      <w:r w:rsidRPr="006F131F">
        <w:t>ccording to respondents C1, C2 and D1, MAIN would not be a feasible choice of obligor as it does not h</w:t>
      </w:r>
      <w:r>
        <w:t>ave the credit standing. Since w</w:t>
      </w:r>
      <w:r w:rsidRPr="006F131F">
        <w:t>aqf asset cannot be pledged and MAIN cannot take liability, corporation is most likely expected to take up all the risks to the project. Therefore, in the Malaysian practice, there is a much higher chance for a corporation to be the obl</w:t>
      </w:r>
      <w:r>
        <w:t>igor compared to the government, as seen in Khazanah being the obligor for the SRI Sukuk Ihsan structure.</w:t>
      </w:r>
    </w:p>
    <w:p w14:paraId="467B65C1" w14:textId="129E946E" w:rsidR="00E62541" w:rsidRPr="00E62541" w:rsidRDefault="00E62541" w:rsidP="009642D3">
      <w:pPr>
        <w:widowControl w:val="0"/>
        <w:autoSpaceDE w:val="0"/>
        <w:autoSpaceDN w:val="0"/>
        <w:adjustRightInd w:val="0"/>
        <w:rPr>
          <w:i/>
        </w:rPr>
      </w:pPr>
      <w:r>
        <w:t xml:space="preserve">On another note, respondent A1 suggested for a Musharakah takaful fund to be set up to act as a risk reserve. Though it is not impermissible from a Shari’ah point of view to manage the risk as such, it does move away from what a true Musharakah should be, that is being at risk. Since MAIN and Company X are Musharakah partners in M2, MAIN cannot be the obligor as one partner cannot guarantee the other partner. However, according to Section 8.02(b) of the Sukuk Guidelines by Securities Commission, it is allowable to have a Kafalah (guarantee) on musharakah capital provided by a third party, with or without imposition of fee. Meanwhile, C2 thinks that perhaps a buy-out structure should be included in the model. What he meant by this is when the partnership hits a certain financial target, the partnership can slowly dissolve. </w:t>
      </w:r>
    </w:p>
    <w:p w14:paraId="2B7B58C7" w14:textId="669286A2" w:rsidR="002D07E2" w:rsidRDefault="002D07E2" w:rsidP="00046B89">
      <w:pPr>
        <w:pStyle w:val="ListParagraph"/>
        <w:numPr>
          <w:ilvl w:val="0"/>
          <w:numId w:val="46"/>
        </w:numPr>
        <w:spacing w:line="240" w:lineRule="auto"/>
        <w:rPr>
          <w:b/>
          <w:bCs/>
        </w:rPr>
      </w:pPr>
      <w:r w:rsidRPr="002D07E2">
        <w:rPr>
          <w:b/>
          <w:bCs/>
        </w:rPr>
        <w:t>Interest by investors</w:t>
      </w:r>
      <w:r>
        <w:rPr>
          <w:b/>
          <w:bCs/>
        </w:rPr>
        <w:t xml:space="preserve"> and feasibility to be implemented in Malaysia</w:t>
      </w:r>
    </w:p>
    <w:p w14:paraId="1E43D510" w14:textId="51CA2E97" w:rsidR="002D07E2" w:rsidRDefault="002D07E2" w:rsidP="009642D3">
      <w:pPr>
        <w:pStyle w:val="Header"/>
        <w:jc w:val="both"/>
      </w:pPr>
      <w:r>
        <w:t xml:space="preserve">Respondents </w:t>
      </w:r>
      <w:r w:rsidRPr="006F131F">
        <w:t xml:space="preserve">A1, B1 and D1 believe that investors would be </w:t>
      </w:r>
      <w:r w:rsidR="00E62541">
        <w:t xml:space="preserve">less interested in </w:t>
      </w:r>
      <w:r>
        <w:t xml:space="preserve">Sukuk </w:t>
      </w:r>
      <w:r w:rsidR="00065C38">
        <w:t>Musharakah</w:t>
      </w:r>
      <w:r w:rsidR="00E62541">
        <w:t xml:space="preserve"> most equity-based Sukuk. </w:t>
      </w:r>
      <w:r>
        <w:t xml:space="preserve">However, having </w:t>
      </w:r>
      <w:r w:rsidR="00E62541">
        <w:t>said that</w:t>
      </w:r>
      <w:r w:rsidRPr="006F131F">
        <w:t>, B1 added that at the end of the day, just like any other investments, the bottom line matters. Investors would want to know what will they get from the investment. He a</w:t>
      </w:r>
      <w:r>
        <w:t>lso mentioned that how the SRI sukuk</w:t>
      </w:r>
      <w:r w:rsidRPr="006F131F">
        <w:t xml:space="preserve"> is marketed is important. If the</w:t>
      </w:r>
      <w:r w:rsidR="00414C2B">
        <w:t xml:space="preserve"> </w:t>
      </w:r>
      <w:r w:rsidR="00065C38">
        <w:t>Musharakah</w:t>
      </w:r>
      <w:r w:rsidRPr="006F131F">
        <w:t xml:space="preserve"> </w:t>
      </w:r>
      <w:r>
        <w:t>SRI sukuk</w:t>
      </w:r>
      <w:r w:rsidRPr="006F131F">
        <w:t xml:space="preserve"> model is advertised from a religious perspective, investors might not be interested. D1 shares the same opinion. He thinks that the structure is not the main concern of investors. They will be keen if the investment generates return,</w:t>
      </w:r>
      <w:r>
        <w:t xml:space="preserve"> </w:t>
      </w:r>
      <w:r w:rsidRPr="006F131F">
        <w:t>it is well marketed</w:t>
      </w:r>
      <w:r>
        <w:t xml:space="preserve"> and</w:t>
      </w:r>
      <w:r w:rsidRPr="006F131F">
        <w:t xml:space="preserve"> the benefits </w:t>
      </w:r>
      <w:r>
        <w:t xml:space="preserve">of investment can be seen </w:t>
      </w:r>
      <w:r w:rsidRPr="006F131F">
        <w:t>in the long run</w:t>
      </w:r>
      <w:r>
        <w:t>, which becomes a</w:t>
      </w:r>
      <w:r w:rsidRPr="006F131F">
        <w:t xml:space="preserve"> ‘feel good factor’ knowing that </w:t>
      </w:r>
      <w:r>
        <w:t xml:space="preserve">they </w:t>
      </w:r>
      <w:r w:rsidRPr="006F131F">
        <w:t xml:space="preserve">are </w:t>
      </w:r>
      <w:r>
        <w:t>contributin</w:t>
      </w:r>
      <w:r w:rsidRPr="006F131F">
        <w:t xml:space="preserve">g </w:t>
      </w:r>
      <w:r>
        <w:t xml:space="preserve">to </w:t>
      </w:r>
      <w:r w:rsidRPr="006F131F">
        <w:t>the society.</w:t>
      </w:r>
    </w:p>
    <w:p w14:paraId="51243E40" w14:textId="77777777" w:rsidR="00414C2B" w:rsidRPr="00414C2B" w:rsidRDefault="00414C2B" w:rsidP="00E62541">
      <w:pPr>
        <w:pStyle w:val="Header"/>
        <w:jc w:val="both"/>
      </w:pPr>
    </w:p>
    <w:p w14:paraId="17CFDDD3" w14:textId="1C7DA672" w:rsidR="0072053D" w:rsidRDefault="0072053D" w:rsidP="00046B89">
      <w:pPr>
        <w:pStyle w:val="Header"/>
      </w:pPr>
    </w:p>
    <w:p w14:paraId="08244F12" w14:textId="77777777" w:rsidR="00F73ABE" w:rsidRPr="0072053D" w:rsidRDefault="00F73ABE" w:rsidP="00046B89">
      <w:pPr>
        <w:pStyle w:val="Header"/>
        <w:rPr>
          <w:rFonts w:eastAsiaTheme="majorEastAsia"/>
          <w:b/>
          <w:color w:val="000000" w:themeColor="text1"/>
          <w:spacing w:val="6"/>
          <w:kern w:val="28"/>
        </w:rPr>
      </w:pPr>
    </w:p>
    <w:p w14:paraId="39ED0F3F" w14:textId="6B53B68D" w:rsidR="0050707B" w:rsidRDefault="0050707B" w:rsidP="00046B89">
      <w:pPr>
        <w:pStyle w:val="Heading1"/>
      </w:pPr>
      <w:r>
        <w:t xml:space="preserve">Revised </w:t>
      </w:r>
      <w:r w:rsidR="00065C38">
        <w:t>Musharakah</w:t>
      </w:r>
      <w:r>
        <w:t xml:space="preserve"> SRI Sukuk Model</w:t>
      </w:r>
    </w:p>
    <w:p w14:paraId="0E285995" w14:textId="60C969A4" w:rsidR="0050707B" w:rsidRDefault="0050707B" w:rsidP="00046B89">
      <w:pPr>
        <w:spacing w:line="240" w:lineRule="auto"/>
      </w:pPr>
      <w:r>
        <w:t xml:space="preserve">Taking into considerations the feedback and suggestions by the respondents, below is the revised version of the </w:t>
      </w:r>
      <w:r w:rsidR="00065C38">
        <w:t>Musharakah</w:t>
      </w:r>
      <w:r>
        <w:t xml:space="preserve"> SRI Sukuk model:</w:t>
      </w:r>
    </w:p>
    <w:p w14:paraId="519F5731" w14:textId="68E0CF09" w:rsidR="00E62541" w:rsidRDefault="00E62541" w:rsidP="00E62541">
      <w:pPr>
        <w:spacing w:line="240" w:lineRule="auto"/>
      </w:pPr>
      <w:r w:rsidRPr="002B6472">
        <w:t xml:space="preserve">The </w:t>
      </w:r>
      <w:r>
        <w:t>model begins with the government or the Majlis Agama Islam Negeri (MAIN) or State Islamic Religious Council first identifying a specific social or economic issue that needs attention, like the issues of affordable housing and unemployment. The waqf development will then be aimed to be an income-generating asset while solving the intended social problem.</w:t>
      </w:r>
    </w:p>
    <w:p w14:paraId="6E47DD11" w14:textId="50938A24" w:rsidR="0050707B" w:rsidRDefault="0050707B" w:rsidP="00E62541">
      <w:pPr>
        <w:spacing w:line="240" w:lineRule="auto"/>
      </w:pPr>
      <w:r>
        <w:t xml:space="preserve">Figure </w:t>
      </w:r>
      <w:r w:rsidR="00E62541">
        <w:t>5</w:t>
      </w:r>
      <w:r>
        <w:t xml:space="preserve"> and the explanations below it provide the details of the revised and proposed SRI sukuk model for the development of waqf properties and assets.</w:t>
      </w:r>
    </w:p>
    <w:p w14:paraId="55F8CBDC" w14:textId="77777777" w:rsidR="0050707B" w:rsidRPr="006F131F" w:rsidRDefault="0050707B" w:rsidP="00046B89">
      <w:pPr>
        <w:spacing w:line="240" w:lineRule="auto"/>
      </w:pPr>
    </w:p>
    <w:p w14:paraId="44B1AC56" w14:textId="77777777" w:rsidR="0050707B" w:rsidRDefault="0050707B" w:rsidP="00046B89">
      <w:pPr>
        <w:keepNext/>
        <w:spacing w:line="240" w:lineRule="auto"/>
      </w:pPr>
      <w:r w:rsidRPr="006F131F">
        <w:rPr>
          <w:noProof/>
          <w:lang w:val="en-MY" w:eastAsia="en-MY"/>
        </w:rPr>
        <w:drawing>
          <wp:inline distT="0" distB="0" distL="0" distR="0" wp14:anchorId="228458C6" wp14:editId="4A4E603F">
            <wp:extent cx="5723255" cy="2286000"/>
            <wp:effectExtent l="0" t="0" r="0" b="0"/>
            <wp:docPr id="5" name="Picture 5" descr="../../../../Desktop/Screen%20Shot%202017-07-31%20at%201.08.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7-31%20at%201.08.39%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255" cy="2286000"/>
                    </a:xfrm>
                    <a:prstGeom prst="rect">
                      <a:avLst/>
                    </a:prstGeom>
                    <a:noFill/>
                    <a:ln>
                      <a:noFill/>
                    </a:ln>
                  </pic:spPr>
                </pic:pic>
              </a:graphicData>
            </a:graphic>
          </wp:inline>
        </w:drawing>
      </w:r>
    </w:p>
    <w:p w14:paraId="6F2D2AEB" w14:textId="72C9FD4D" w:rsidR="0050707B" w:rsidRPr="00487B06" w:rsidRDefault="0050707B" w:rsidP="00E62541">
      <w:pPr>
        <w:pStyle w:val="Caption"/>
        <w:spacing w:after="0"/>
        <w:jc w:val="both"/>
        <w:rPr>
          <w:color w:val="000000" w:themeColor="text1"/>
          <w:sz w:val="21"/>
        </w:rPr>
      </w:pPr>
      <w:bookmarkStart w:id="23" w:name="_Toc491650069"/>
      <w:r w:rsidRPr="00B65B9D">
        <w:rPr>
          <w:color w:val="000000" w:themeColor="text1"/>
          <w:sz w:val="21"/>
        </w:rPr>
        <w:t xml:space="preserve">Figure </w:t>
      </w:r>
      <w:r w:rsidRPr="00B65B9D">
        <w:rPr>
          <w:color w:val="000000" w:themeColor="text1"/>
          <w:sz w:val="21"/>
        </w:rPr>
        <w:fldChar w:fldCharType="begin"/>
      </w:r>
      <w:r w:rsidRPr="00B65B9D">
        <w:rPr>
          <w:color w:val="000000" w:themeColor="text1"/>
          <w:sz w:val="21"/>
        </w:rPr>
        <w:instrText xml:space="preserve"> SEQ Figure \* ARABIC </w:instrText>
      </w:r>
      <w:r w:rsidRPr="00B65B9D">
        <w:rPr>
          <w:color w:val="000000" w:themeColor="text1"/>
          <w:sz w:val="21"/>
        </w:rPr>
        <w:fldChar w:fldCharType="separate"/>
      </w:r>
      <w:r w:rsidR="00864D1C">
        <w:rPr>
          <w:noProof/>
          <w:color w:val="000000" w:themeColor="text1"/>
          <w:sz w:val="21"/>
        </w:rPr>
        <w:t>5</w:t>
      </w:r>
      <w:r w:rsidRPr="00B65B9D">
        <w:rPr>
          <w:color w:val="000000" w:themeColor="text1"/>
          <w:sz w:val="21"/>
        </w:rPr>
        <w:fldChar w:fldCharType="end"/>
      </w:r>
      <w:r w:rsidRPr="00B65B9D">
        <w:rPr>
          <w:color w:val="000000" w:themeColor="text1"/>
          <w:sz w:val="21"/>
        </w:rPr>
        <w:t xml:space="preserve">: </w:t>
      </w:r>
      <w:r>
        <w:rPr>
          <w:color w:val="000000" w:themeColor="text1"/>
          <w:sz w:val="21"/>
        </w:rPr>
        <w:t>The revised SRI Sukuk model</w:t>
      </w:r>
      <w:r w:rsidRPr="00B65B9D">
        <w:rPr>
          <w:color w:val="000000" w:themeColor="text1"/>
          <w:sz w:val="21"/>
        </w:rPr>
        <w:t xml:space="preserve"> based on </w:t>
      </w:r>
      <w:r w:rsidR="00065C38">
        <w:rPr>
          <w:color w:val="000000" w:themeColor="text1"/>
          <w:sz w:val="21"/>
        </w:rPr>
        <w:t>Musharakah</w:t>
      </w:r>
      <w:bookmarkEnd w:id="23"/>
    </w:p>
    <w:p w14:paraId="32D464BF" w14:textId="77777777" w:rsidR="0050707B" w:rsidRPr="006F131F" w:rsidRDefault="0050707B" w:rsidP="00046B89">
      <w:pPr>
        <w:spacing w:line="240" w:lineRule="auto"/>
      </w:pPr>
    </w:p>
    <w:p w14:paraId="08187D36" w14:textId="77777777" w:rsidR="00E62541" w:rsidRDefault="00E62541" w:rsidP="00E62541">
      <w:pPr>
        <w:spacing w:line="240" w:lineRule="auto"/>
      </w:pPr>
      <w:r>
        <w:t>In this model, Majlis Agama Islam Negeri (MAIN) and Company X enter into a Musharakah (profit and loss sharing partnership) to develop waqf properties/assets.</w:t>
      </w:r>
    </w:p>
    <w:p w14:paraId="2E882DCD" w14:textId="77777777" w:rsidR="00E62541" w:rsidRDefault="00E62541" w:rsidP="00E62541">
      <w:pPr>
        <w:numPr>
          <w:ilvl w:val="0"/>
          <w:numId w:val="50"/>
        </w:numPr>
        <w:spacing w:after="0" w:line="240" w:lineRule="auto"/>
      </w:pPr>
      <w:r>
        <w:t>Company X establishes SPV.</w:t>
      </w:r>
    </w:p>
    <w:p w14:paraId="3951D941" w14:textId="77777777" w:rsidR="00E62541" w:rsidRDefault="00E62541" w:rsidP="00E62541">
      <w:pPr>
        <w:numPr>
          <w:ilvl w:val="0"/>
          <w:numId w:val="50"/>
        </w:numPr>
        <w:spacing w:after="0" w:line="240" w:lineRule="auto"/>
      </w:pPr>
      <w:r>
        <w:t>SPV issues SRI sukuk.</w:t>
      </w:r>
    </w:p>
    <w:p w14:paraId="14086CE8" w14:textId="77777777" w:rsidR="00E62541" w:rsidRDefault="00E62541" w:rsidP="00E62541">
      <w:pPr>
        <w:numPr>
          <w:ilvl w:val="0"/>
          <w:numId w:val="50"/>
        </w:numPr>
        <w:spacing w:after="0" w:line="240" w:lineRule="auto"/>
      </w:pPr>
      <w:r>
        <w:t>Investors provide the cash.</w:t>
      </w:r>
    </w:p>
    <w:p w14:paraId="2246AF0A" w14:textId="77777777" w:rsidR="00E62541" w:rsidRDefault="00E62541" w:rsidP="00E62541">
      <w:pPr>
        <w:numPr>
          <w:ilvl w:val="0"/>
          <w:numId w:val="50"/>
        </w:numPr>
        <w:spacing w:after="0" w:line="240" w:lineRule="auto"/>
      </w:pPr>
      <w:r>
        <w:t xml:space="preserve">SPV gives the cash proceed to the Musharakah. </w:t>
      </w:r>
    </w:p>
    <w:p w14:paraId="0CB5D34D" w14:textId="77777777" w:rsidR="00E62541" w:rsidRDefault="00E62541" w:rsidP="00E62541">
      <w:pPr>
        <w:numPr>
          <w:ilvl w:val="0"/>
          <w:numId w:val="50"/>
        </w:numPr>
        <w:spacing w:after="0" w:line="240" w:lineRule="auto"/>
      </w:pPr>
      <w:r>
        <w:t>Together, they develop the waqf properties/assets.</w:t>
      </w:r>
    </w:p>
    <w:p w14:paraId="3677DB15" w14:textId="77777777" w:rsidR="00E62541" w:rsidRDefault="00E62541" w:rsidP="00E62541">
      <w:pPr>
        <w:numPr>
          <w:ilvl w:val="0"/>
          <w:numId w:val="50"/>
        </w:numPr>
        <w:spacing w:after="0" w:line="240" w:lineRule="auto"/>
      </w:pPr>
      <w:r>
        <w:t>Income gained from the development of waqf properties/assets will be shared among the partners.</w:t>
      </w:r>
    </w:p>
    <w:p w14:paraId="2F1C919E" w14:textId="77777777" w:rsidR="00E62541" w:rsidRDefault="00E62541" w:rsidP="00E62541">
      <w:pPr>
        <w:numPr>
          <w:ilvl w:val="0"/>
          <w:numId w:val="50"/>
        </w:numPr>
        <w:spacing w:after="0" w:line="240" w:lineRule="auto"/>
      </w:pPr>
      <w:r>
        <w:t xml:space="preserve">Company X will share the income with investors based on an agreed percentage. </w:t>
      </w:r>
    </w:p>
    <w:p w14:paraId="2AD940E0" w14:textId="77777777" w:rsidR="00851A8D" w:rsidRDefault="00851A8D" w:rsidP="00046B89">
      <w:pPr>
        <w:spacing w:line="240" w:lineRule="auto"/>
      </w:pPr>
    </w:p>
    <w:p w14:paraId="36A5960E" w14:textId="3AC4CC2A" w:rsidR="0050707B" w:rsidRDefault="0050707B" w:rsidP="00046B89">
      <w:pPr>
        <w:spacing w:line="240" w:lineRule="auto"/>
      </w:pPr>
      <w:r>
        <w:t xml:space="preserve">Based on the feedback from the interview, the following changes are made. Firstly, on the choice of obligor. The most realistic obligor for this model will be Company X or any other private corporation even though ideally, the government is most preferred. The obligor will </w:t>
      </w:r>
      <w:r>
        <w:lastRenderedPageBreak/>
        <w:t>guarantee the completion of the project as well as execute the obligations which the issuer (SPV) fails to observe.</w:t>
      </w:r>
    </w:p>
    <w:p w14:paraId="354E93AE" w14:textId="10095E10" w:rsidR="0050707B" w:rsidRDefault="0050707B" w:rsidP="00046B89">
      <w:pPr>
        <w:spacing w:line="240" w:lineRule="auto"/>
      </w:pPr>
      <w:r>
        <w:t>Secondly, the model will not have the KPIs embedded in the return mechanism for three reasons. Firstly, the structure of the sukuk has had a</w:t>
      </w:r>
      <w:r w:rsidRPr="006F131F">
        <w:t>ll parties motivated to ensure the success of the project so that returns are maximised.</w:t>
      </w:r>
      <w:r>
        <w:t xml:space="preserve"> The SPV must develop income generating assets and Company X must manage efficiently to get the returns. Secondly, taking into consideration the respondents who have had experience with KPIs in SRI Sukuk Ihsan, setting KPIs is expensive and therefore increases the cost of issuance. Finally, having KPIs might resist investors from investing because returns are dependent upon the performance of the KPIs. However, having said that, like SRI Sukuk Ihsan, investors will have the “options to waive” their rights, benefits and entitlements to the periodic distributions and the capital into the sukuk. </w:t>
      </w:r>
      <w:r w:rsidRPr="006F131F">
        <w:t>By doing so, they are entitled to receive tax vouchers for an amount equal to the amount waived or the reduction in the nominal value of their respective sukukholdings</w:t>
      </w:r>
      <w:r>
        <w:t>.</w:t>
      </w:r>
    </w:p>
    <w:p w14:paraId="526A48BA" w14:textId="7066A11B" w:rsidR="00E62541" w:rsidRDefault="00E62541" w:rsidP="00E62541">
      <w:pPr>
        <w:spacing w:line="240" w:lineRule="auto"/>
      </w:pPr>
      <w:r>
        <w:t>Finally, as per respondent A1’s suggestios, a Musharakah takaful fund is to be set up to act as a risk reserve. Though it is not impermissible from a Shari’ah point of view to manage the risk as such, it does move away from what a true Musharakah should be, that is being at risk. However, the risk reserve will provide an acceptable level of comfort for the investors particularly in the event of losses.</w:t>
      </w:r>
    </w:p>
    <w:p w14:paraId="30E592C5" w14:textId="3102225D" w:rsidR="009D7E18" w:rsidRDefault="00642C4A" w:rsidP="00046B89">
      <w:pPr>
        <w:pStyle w:val="Heading1"/>
      </w:pPr>
      <w:r>
        <w:t>Conclusion</w:t>
      </w:r>
    </w:p>
    <w:p w14:paraId="38A9E497" w14:textId="32672359" w:rsidR="00E0724C" w:rsidRDefault="00A56E82" w:rsidP="00046B89">
      <w:pPr>
        <w:spacing w:line="240" w:lineRule="auto"/>
      </w:pPr>
      <w:r>
        <w:t xml:space="preserve">The Islamic finance industry has shown </w:t>
      </w:r>
      <w:r w:rsidR="00E0724C">
        <w:t>positive growth since its inception</w:t>
      </w:r>
      <w:r>
        <w:t>. However, despite this progress, the full potential of Islamic finance industry has not been realised</w:t>
      </w:r>
      <w:r w:rsidR="00E0724C">
        <w:t xml:space="preserve"> and there have been </w:t>
      </w:r>
      <w:r>
        <w:t xml:space="preserve">calls to </w:t>
      </w:r>
      <w:r w:rsidR="00E0724C">
        <w:t>close</w:t>
      </w:r>
      <w:r>
        <w:t xml:space="preserve"> the gap </w:t>
      </w:r>
      <w:r w:rsidR="00E0724C">
        <w:t xml:space="preserve">between </w:t>
      </w:r>
      <w:r>
        <w:t>theory and practice</w:t>
      </w:r>
      <w:r w:rsidR="00E0724C">
        <w:t>. This study has pioneered an exploratory research on SRI sukuk as an innovative financing tool to develop waqf properties and assets. With the proposal of</w:t>
      </w:r>
      <w:r w:rsidR="00851A8D">
        <w:t xml:space="preserve"> </w:t>
      </w:r>
      <w:r w:rsidR="00065C38">
        <w:t>Musharakah</w:t>
      </w:r>
      <w:r w:rsidR="00E0724C">
        <w:t xml:space="preserve"> SRI sukuk model that could be implemented for the development of waqf properties and assets, the study serves great benefit</w:t>
      </w:r>
      <w:r w:rsidR="00E0724C" w:rsidRPr="0000799A">
        <w:t xml:space="preserve"> </w:t>
      </w:r>
      <w:r w:rsidR="00E0724C">
        <w:t xml:space="preserve">to </w:t>
      </w:r>
      <w:r w:rsidR="00E0724C" w:rsidRPr="0000799A">
        <w:t xml:space="preserve">the </w:t>
      </w:r>
      <w:r w:rsidR="00E0724C">
        <w:t>government, waqf administrators, regulators, policy makers, foundations, corporations</w:t>
      </w:r>
      <w:r w:rsidR="00E0724C" w:rsidRPr="0000799A">
        <w:t xml:space="preserve"> and interested investors </w:t>
      </w:r>
      <w:r w:rsidR="00E0724C">
        <w:t>to explore. Policy makers should take a bold step in improving the way waqf assets are managed currently and realise that not only SRI sukuk</w:t>
      </w:r>
      <w:r w:rsidR="00E0724C" w:rsidRPr="0000799A">
        <w:t xml:space="preserve"> </w:t>
      </w:r>
      <w:r w:rsidR="00E0724C">
        <w:t xml:space="preserve">could be </w:t>
      </w:r>
      <w:r w:rsidR="00E0724C" w:rsidRPr="006F131F">
        <w:t xml:space="preserve">structured to support </w:t>
      </w:r>
      <w:r w:rsidR="00E0724C">
        <w:t xml:space="preserve">the </w:t>
      </w:r>
      <w:r w:rsidR="00E0724C" w:rsidRPr="006F131F">
        <w:t xml:space="preserve">financing </w:t>
      </w:r>
      <w:r w:rsidR="00E0724C">
        <w:t>of</w:t>
      </w:r>
      <w:r w:rsidR="00E0724C" w:rsidRPr="006F131F">
        <w:t xml:space="preserve"> </w:t>
      </w:r>
      <w:r w:rsidR="00E0724C">
        <w:rPr>
          <w:iCs/>
        </w:rPr>
        <w:t>w</w:t>
      </w:r>
      <w:r w:rsidR="00E0724C" w:rsidRPr="006F131F">
        <w:rPr>
          <w:iCs/>
        </w:rPr>
        <w:t>aqf</w:t>
      </w:r>
      <w:r w:rsidR="00E0724C" w:rsidRPr="006F131F">
        <w:rPr>
          <w:i/>
          <w:iCs/>
        </w:rPr>
        <w:t xml:space="preserve"> </w:t>
      </w:r>
      <w:r w:rsidR="00E0724C" w:rsidRPr="006F131F">
        <w:t xml:space="preserve">assets </w:t>
      </w:r>
      <w:r w:rsidR="00E0724C">
        <w:t xml:space="preserve">development </w:t>
      </w:r>
      <w:r w:rsidR="00E0724C" w:rsidRPr="006F131F">
        <w:t xml:space="preserve">into viable income-generating </w:t>
      </w:r>
      <w:r w:rsidR="00E0724C">
        <w:t>asset</w:t>
      </w:r>
      <w:r w:rsidR="00E0724C" w:rsidRPr="006F131F">
        <w:t>s that can help with social programmes</w:t>
      </w:r>
      <w:r w:rsidR="00E0724C">
        <w:t xml:space="preserve">, it can also </w:t>
      </w:r>
      <w:r w:rsidR="00E0724C">
        <w:rPr>
          <w:rFonts w:eastAsia="Times New Roman"/>
          <w:color w:val="000000" w:themeColor="text1"/>
          <w:spacing w:val="5"/>
          <w:shd w:val="clear" w:color="auto" w:fill="FFFFFF"/>
        </w:rPr>
        <w:t>help to materialise</w:t>
      </w:r>
      <w:r w:rsidR="00E0724C" w:rsidRPr="0000799A">
        <w:rPr>
          <w:rFonts w:eastAsia="Times New Roman"/>
          <w:color w:val="000000" w:themeColor="text1"/>
          <w:spacing w:val="5"/>
          <w:shd w:val="clear" w:color="auto" w:fill="FFFFFF"/>
        </w:rPr>
        <w:t xml:space="preserve"> the </w:t>
      </w:r>
      <w:r w:rsidR="00E0724C">
        <w:rPr>
          <w:rFonts w:eastAsia="Times New Roman"/>
          <w:color w:val="000000" w:themeColor="text1"/>
          <w:spacing w:val="5"/>
          <w:shd w:val="clear" w:color="auto" w:fill="FFFFFF"/>
        </w:rPr>
        <w:t xml:space="preserve">true </w:t>
      </w:r>
      <w:r w:rsidR="00E0724C" w:rsidRPr="0000799A">
        <w:rPr>
          <w:rFonts w:eastAsia="Times New Roman"/>
          <w:color w:val="000000" w:themeColor="text1"/>
          <w:spacing w:val="5"/>
          <w:shd w:val="clear" w:color="auto" w:fill="FFFFFF"/>
        </w:rPr>
        <w:t>potential</w:t>
      </w:r>
      <w:r w:rsidR="00E0724C">
        <w:rPr>
          <w:rFonts w:eastAsia="Times New Roman"/>
          <w:color w:val="000000" w:themeColor="text1"/>
          <w:spacing w:val="5"/>
          <w:shd w:val="clear" w:color="auto" w:fill="FFFFFF"/>
        </w:rPr>
        <w:t xml:space="preserve"> roles of w</w:t>
      </w:r>
      <w:r w:rsidR="00E0724C" w:rsidRPr="0000799A">
        <w:rPr>
          <w:rFonts w:eastAsia="Times New Roman"/>
          <w:color w:val="000000" w:themeColor="text1"/>
          <w:spacing w:val="5"/>
          <w:shd w:val="clear" w:color="auto" w:fill="FFFFFF"/>
        </w:rPr>
        <w:t xml:space="preserve">aqf as </w:t>
      </w:r>
      <w:r w:rsidR="00E0724C">
        <w:rPr>
          <w:rFonts w:eastAsia="Times New Roman"/>
          <w:color w:val="000000" w:themeColor="text1"/>
          <w:spacing w:val="5"/>
          <w:shd w:val="clear" w:color="auto" w:fill="FFFFFF"/>
        </w:rPr>
        <w:t xml:space="preserve">not only a religious tool, but also </w:t>
      </w:r>
      <w:r w:rsidR="00E0724C" w:rsidRPr="0000799A">
        <w:rPr>
          <w:rFonts w:eastAsia="Times New Roman"/>
          <w:color w:val="000000" w:themeColor="text1"/>
          <w:spacing w:val="5"/>
          <w:shd w:val="clear" w:color="auto" w:fill="FFFFFF"/>
        </w:rPr>
        <w:t xml:space="preserve">one of the instruments </w:t>
      </w:r>
      <w:r w:rsidR="00E0724C">
        <w:rPr>
          <w:rFonts w:eastAsia="Times New Roman"/>
          <w:color w:val="000000" w:themeColor="text1"/>
          <w:spacing w:val="5"/>
          <w:shd w:val="clear" w:color="auto" w:fill="FFFFFF"/>
        </w:rPr>
        <w:t>for</w:t>
      </w:r>
      <w:r w:rsidR="00E0724C" w:rsidRPr="0000799A">
        <w:rPr>
          <w:rFonts w:eastAsia="Times New Roman"/>
          <w:color w:val="000000" w:themeColor="text1"/>
          <w:spacing w:val="5"/>
          <w:shd w:val="clear" w:color="auto" w:fill="FFFFFF"/>
        </w:rPr>
        <w:t xml:space="preserve"> human</w:t>
      </w:r>
      <w:r w:rsidR="00E0724C">
        <w:rPr>
          <w:rFonts w:eastAsia="Times New Roman"/>
          <w:color w:val="000000" w:themeColor="text1"/>
          <w:spacing w:val="5"/>
          <w:shd w:val="clear" w:color="auto" w:fill="FFFFFF"/>
        </w:rPr>
        <w:t>, economic</w:t>
      </w:r>
      <w:r w:rsidR="00E0724C" w:rsidRPr="0000799A">
        <w:rPr>
          <w:rFonts w:eastAsia="Times New Roman"/>
          <w:color w:val="000000" w:themeColor="text1"/>
          <w:spacing w:val="5"/>
          <w:shd w:val="clear" w:color="auto" w:fill="FFFFFF"/>
        </w:rPr>
        <w:t xml:space="preserve"> and social developme</w:t>
      </w:r>
      <w:r w:rsidR="00E0724C">
        <w:rPr>
          <w:rFonts w:eastAsia="Times New Roman"/>
          <w:color w:val="000000" w:themeColor="text1"/>
          <w:spacing w:val="5"/>
          <w:shd w:val="clear" w:color="auto" w:fill="FFFFFF"/>
        </w:rPr>
        <w:t xml:space="preserve">nts </w:t>
      </w:r>
      <w:r w:rsidR="00E0724C" w:rsidRPr="0000799A">
        <w:rPr>
          <w:rFonts w:eastAsia="Times New Roman"/>
          <w:color w:val="000000" w:themeColor="text1"/>
          <w:spacing w:val="5"/>
          <w:shd w:val="clear" w:color="auto" w:fill="FFFFFF"/>
        </w:rPr>
        <w:t>in Malaysia</w:t>
      </w:r>
      <w:r w:rsidR="00E0724C">
        <w:rPr>
          <w:rFonts w:eastAsia="Times New Roman"/>
          <w:color w:val="000000" w:themeColor="text1"/>
          <w:spacing w:val="5"/>
          <w:shd w:val="clear" w:color="auto" w:fill="FFFFFF"/>
        </w:rPr>
        <w:t xml:space="preserve"> as well as globally. </w:t>
      </w:r>
      <w:r w:rsidR="00E0724C">
        <w:tab/>
      </w:r>
    </w:p>
    <w:p w14:paraId="1F22DFFC" w14:textId="77777777" w:rsidR="00851A8D" w:rsidRDefault="00851A8D" w:rsidP="00046B89">
      <w:pPr>
        <w:spacing w:after="160" w:line="240" w:lineRule="auto"/>
        <w:jc w:val="left"/>
        <w:rPr>
          <w:rFonts w:eastAsiaTheme="majorEastAsia"/>
          <w:b/>
          <w:color w:val="000000" w:themeColor="text1"/>
          <w:spacing w:val="-10"/>
          <w:kern w:val="28"/>
        </w:rPr>
      </w:pPr>
      <w:r>
        <w:br w:type="page"/>
      </w:r>
    </w:p>
    <w:p w14:paraId="30E592C9" w14:textId="7DBEE34C" w:rsidR="00A46DD5" w:rsidRDefault="00A46DD5" w:rsidP="00046B89">
      <w:pPr>
        <w:pStyle w:val="Heading1"/>
      </w:pPr>
      <w:r>
        <w:lastRenderedPageBreak/>
        <w:t>References</w:t>
      </w:r>
    </w:p>
    <w:p w14:paraId="5338738D"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fldChar w:fldCharType="begin" w:fldLock="1"/>
      </w:r>
      <w:r w:rsidRPr="009642D3">
        <w:instrText xml:space="preserve">ADDIN Mendeley Bibliography CSL_BIBLIOGRAPHY </w:instrText>
      </w:r>
      <w:r w:rsidRPr="009642D3">
        <w:fldChar w:fldCharType="separate"/>
      </w:r>
      <w:r w:rsidRPr="009642D3">
        <w:rPr>
          <w:rFonts w:eastAsia="Times New Roman"/>
          <w:noProof/>
        </w:rPr>
        <w:t xml:space="preserve">Anwar, A. P., &amp; Mohamad I’sa, A. J. (2016). The constraints of Malaysian mutawalli in developing idle waqf lands. </w:t>
      </w:r>
      <w:r w:rsidRPr="009642D3">
        <w:rPr>
          <w:rFonts w:eastAsia="Times New Roman"/>
          <w:i/>
          <w:iCs/>
          <w:noProof/>
        </w:rPr>
        <w:t>Proceedings of the Muktamar Waqf Iqlimi III (IQLIMI 2016)</w:t>
      </w:r>
      <w:r w:rsidRPr="009642D3">
        <w:rPr>
          <w:rFonts w:eastAsia="Times New Roman"/>
          <w:noProof/>
        </w:rPr>
        <w:t xml:space="preserve">, </w:t>
      </w:r>
      <w:r w:rsidRPr="009642D3">
        <w:rPr>
          <w:rFonts w:eastAsia="Times New Roman"/>
          <w:i/>
          <w:iCs/>
          <w:noProof/>
        </w:rPr>
        <w:t>2016</w:t>
      </w:r>
      <w:r w:rsidRPr="009642D3">
        <w:rPr>
          <w:rFonts w:eastAsia="Times New Roman"/>
          <w:noProof/>
        </w:rPr>
        <w:t>(October), 13–14. http://doi.org/10.13140/RG.2.2.11520.84483</w:t>
      </w:r>
    </w:p>
    <w:p w14:paraId="53F3C533" w14:textId="77777777" w:rsidR="009642D3" w:rsidRPr="009642D3" w:rsidRDefault="009642D3" w:rsidP="009642D3">
      <w:pPr>
        <w:pStyle w:val="EndNoteBibliography"/>
        <w:ind w:left="567" w:hanging="567"/>
        <w:jc w:val="left"/>
      </w:pPr>
      <w:r w:rsidRPr="009642D3">
        <w:t>CIMB. (2015). Ihsan Sukuk Berhad: Information Memorandum. Malaysia: CIMB.</w:t>
      </w:r>
    </w:p>
    <w:p w14:paraId="49E1070D"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CIWM. (2015). </w:t>
      </w:r>
      <w:r w:rsidRPr="009642D3">
        <w:rPr>
          <w:rFonts w:eastAsia="Times New Roman"/>
          <w:i/>
          <w:iCs/>
          <w:noProof/>
        </w:rPr>
        <w:t>SRIs &amp; The Case for Islamic Investment Funds</w:t>
      </w:r>
      <w:r w:rsidRPr="009642D3">
        <w:rPr>
          <w:rFonts w:eastAsia="Times New Roman"/>
          <w:noProof/>
        </w:rPr>
        <w:t>. Retrieved from http://www.mifc.com/repository/0186SRI e-Book.pdf</w:t>
      </w:r>
    </w:p>
    <w:p w14:paraId="3FF731EE"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Elasrag, H. (2017). Towards A New Role of the Institution of Waqf. Retrieved from https://mpra.ub.uni-muenchen.de/80513/</w:t>
      </w:r>
    </w:p>
    <w:p w14:paraId="75901448"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Eurosif. (2016). 2016 European SRI Study. http://doi.org/10.1080/14634980802171106</w:t>
      </w:r>
    </w:p>
    <w:p w14:paraId="3367012C" w14:textId="77777777" w:rsidR="009642D3" w:rsidRPr="009642D3" w:rsidRDefault="009642D3" w:rsidP="009642D3">
      <w:pPr>
        <w:pStyle w:val="EndNoteBibliography"/>
        <w:ind w:left="567" w:hanging="567"/>
        <w:jc w:val="left"/>
      </w:pPr>
      <w:r w:rsidRPr="009642D3">
        <w:t xml:space="preserve">Ghani, M. I. (2015). The World's First Ringgit-Denominated SRI Sukuk. In T. Reuters (Ed.), </w:t>
      </w:r>
      <w:r w:rsidRPr="009642D3">
        <w:rPr>
          <w:i/>
        </w:rPr>
        <w:t>Thomson Reuters - RFI Responsible Finance Report 2015: The emerging convergence of SRI, ESG and Islamic Finance</w:t>
      </w:r>
      <w:r w:rsidRPr="009642D3">
        <w:t>: Thomson Reuters.</w:t>
      </w:r>
    </w:p>
    <w:p w14:paraId="11A4C7EF"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Global Sustainable Investment Alliance. (2016). </w:t>
      </w:r>
      <w:r w:rsidRPr="009642D3">
        <w:rPr>
          <w:rFonts w:eastAsia="Times New Roman"/>
          <w:i/>
          <w:iCs/>
          <w:noProof/>
        </w:rPr>
        <w:t>Global Sustainable Investment Review</w:t>
      </w:r>
      <w:r w:rsidRPr="009642D3">
        <w:rPr>
          <w:rFonts w:eastAsia="Times New Roman"/>
          <w:noProof/>
        </w:rPr>
        <w:t>.</w:t>
      </w:r>
    </w:p>
    <w:p w14:paraId="2A0BA99A"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Hydzulkifli, H. O., Asmak, A. R., Ahmad Rizal, M., Azizi, A. B., &amp; Suhaila, A. K. (2013). The Structuring for Development and Management Waqf Properties in Malaysia Ibn al-Ath ī r stated that originally the word asset ( m ā l ) has been used amongst and silver 1 . The scope of meaning for the term m ā l has been extended to all to physical goo. </w:t>
      </w:r>
      <w:r w:rsidRPr="009642D3">
        <w:rPr>
          <w:rFonts w:eastAsia="Times New Roman"/>
          <w:i/>
          <w:iCs/>
          <w:noProof/>
        </w:rPr>
        <w:t>Journal of Human Development and Communication</w:t>
      </w:r>
      <w:r w:rsidRPr="009642D3">
        <w:rPr>
          <w:rFonts w:eastAsia="Times New Roman"/>
          <w:noProof/>
        </w:rPr>
        <w:t xml:space="preserve">, </w:t>
      </w:r>
      <w:r w:rsidRPr="009642D3">
        <w:rPr>
          <w:rFonts w:eastAsia="Times New Roman"/>
          <w:i/>
          <w:iCs/>
          <w:noProof/>
        </w:rPr>
        <w:t>2</w:t>
      </w:r>
      <w:r w:rsidRPr="009642D3">
        <w:rPr>
          <w:rFonts w:eastAsia="Times New Roman"/>
          <w:noProof/>
        </w:rPr>
        <w:t>, 45–59.</w:t>
      </w:r>
    </w:p>
    <w:p w14:paraId="1C764B25"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IFSB. (2016). </w:t>
      </w:r>
      <w:r w:rsidRPr="009642D3">
        <w:rPr>
          <w:rFonts w:eastAsia="Times New Roman"/>
          <w:i/>
          <w:iCs/>
          <w:noProof/>
        </w:rPr>
        <w:t>Islamic Financial Services Board Stability Report 2016</w:t>
      </w:r>
      <w:r w:rsidRPr="009642D3">
        <w:rPr>
          <w:rFonts w:eastAsia="Times New Roman"/>
          <w:noProof/>
        </w:rPr>
        <w:t xml:space="preserve">. </w:t>
      </w:r>
      <w:r w:rsidRPr="009642D3">
        <w:rPr>
          <w:rFonts w:eastAsia="Times New Roman"/>
          <w:i/>
          <w:iCs/>
          <w:noProof/>
        </w:rPr>
        <w:t>Bank Negara Malaysia</w:t>
      </w:r>
      <w:r w:rsidRPr="009642D3">
        <w:rPr>
          <w:rFonts w:eastAsia="Times New Roman"/>
          <w:noProof/>
        </w:rPr>
        <w:t xml:space="preserve"> (Vol. 1).</w:t>
      </w:r>
    </w:p>
    <w:p w14:paraId="012D87E3"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Investment &amp; Finance. (2014). Musharakah Sukuk. Retrieved July 13, 2014, from http://www.investment-and-finance.net/islamic-finance/m/musharakah-sukuk.html</w:t>
      </w:r>
    </w:p>
    <w:p w14:paraId="4AC2C0D8"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Ismal, R. I. R., Muljawan, D., Chalid, M. R., Muljawan, D., Chalid, M. R., Sastrosuwito, J. K. S., &amp; Sastrosuwito, J. K. S. (2015). </w:t>
      </w:r>
      <w:r w:rsidRPr="009642D3">
        <w:rPr>
          <w:rFonts w:eastAsia="Times New Roman"/>
          <w:i/>
          <w:iCs/>
          <w:noProof/>
        </w:rPr>
        <w:t>Occasional Paper Awqaf Linked Sukuk To Support the Economic Development Awqaf Linked Sukuk To Support the Economic Development</w:t>
      </w:r>
      <w:r w:rsidRPr="009642D3">
        <w:rPr>
          <w:rFonts w:eastAsia="Times New Roman"/>
          <w:noProof/>
        </w:rPr>
        <w:t>.</w:t>
      </w:r>
    </w:p>
    <w:p w14:paraId="2C6CECD9"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ISRA. (2012). Kuala Lumpur Declaration. </w:t>
      </w:r>
      <w:r w:rsidRPr="009642D3">
        <w:rPr>
          <w:rFonts w:eastAsia="Times New Roman"/>
          <w:i/>
          <w:iCs/>
          <w:noProof/>
        </w:rPr>
        <w:t>The Second Strategic Roundtable Discussion ISRA-IRTI-DURHAM University</w:t>
      </w:r>
      <w:r w:rsidRPr="009642D3">
        <w:rPr>
          <w:rFonts w:eastAsia="Times New Roman"/>
          <w:noProof/>
        </w:rPr>
        <w:t>, (September), 1–3.</w:t>
      </w:r>
    </w:p>
    <w:p w14:paraId="69C6FF9F"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Khazanah Nasional. (2017). Khazanah Nasional Berhad - Khazanah to issue second tranche of Sustainable and Responsible Investment (SRI) Sukuk. Retrieved August 18, 2017, from http://www.khazanah.com.my/Media-Downloads/News-Press-Releases/2017/Khazanah-to-issue-second-tranche-of-Sustainable-an</w:t>
      </w:r>
    </w:p>
    <w:p w14:paraId="124958D9" w14:textId="77777777" w:rsidR="009642D3" w:rsidRPr="009642D3" w:rsidRDefault="009642D3" w:rsidP="009642D3">
      <w:pPr>
        <w:spacing w:line="240" w:lineRule="auto"/>
        <w:ind w:left="567" w:hanging="567"/>
        <w:jc w:val="left"/>
        <w:rPr>
          <w:noProof/>
        </w:rPr>
      </w:pPr>
      <w:bookmarkStart w:id="24" w:name="_ENREF_11"/>
      <w:r w:rsidRPr="009642D3">
        <w:rPr>
          <w:noProof/>
        </w:rPr>
        <w:t xml:space="preserve">Lahsasna, Dr. Ahcene. (2013, 27 November 2013). </w:t>
      </w:r>
      <w:r w:rsidRPr="009642D3">
        <w:rPr>
          <w:i/>
          <w:noProof/>
        </w:rPr>
        <w:t>Family Waqf as a Wealth Management Tool.</w:t>
      </w:r>
      <w:r w:rsidRPr="009642D3">
        <w:rPr>
          <w:noProof/>
        </w:rPr>
        <w:t xml:space="preserve"> Paper presented at the Islamic Wealth Management Seminar, Kuala Lumpur, Malaysia.</w:t>
      </w:r>
      <w:bookmarkEnd w:id="24"/>
    </w:p>
    <w:p w14:paraId="22E22765"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Lateh, B. (2016). Multiple Contract and Fatwa of National Sharia Council. </w:t>
      </w:r>
      <w:r w:rsidRPr="009642D3">
        <w:rPr>
          <w:rFonts w:eastAsia="Times New Roman"/>
          <w:i/>
          <w:iCs/>
          <w:noProof/>
        </w:rPr>
        <w:t xml:space="preserve">International </w:t>
      </w:r>
      <w:r w:rsidRPr="009642D3">
        <w:rPr>
          <w:rFonts w:eastAsia="Times New Roman"/>
          <w:i/>
          <w:iCs/>
          <w:noProof/>
        </w:rPr>
        <w:lastRenderedPageBreak/>
        <w:t>Journal of Nusantara Islam</w:t>
      </w:r>
      <w:r w:rsidRPr="009642D3">
        <w:rPr>
          <w:rFonts w:eastAsia="Times New Roman"/>
          <w:noProof/>
        </w:rPr>
        <w:t xml:space="preserve">, </w:t>
      </w:r>
      <w:r w:rsidRPr="009642D3">
        <w:rPr>
          <w:rFonts w:eastAsia="Times New Roman"/>
          <w:i/>
          <w:iCs/>
          <w:noProof/>
        </w:rPr>
        <w:t>4</w:t>
      </w:r>
      <w:r w:rsidRPr="009642D3">
        <w:rPr>
          <w:rFonts w:eastAsia="Times New Roman"/>
          <w:noProof/>
        </w:rPr>
        <w:t>(1), 41–48. http://doi.org/http://dx.doi.org/10.15575/ijni.v4i1.1184</w:t>
      </w:r>
    </w:p>
    <w:p w14:paraId="590E07C2"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Magda, I. A. M., Dafterdar, H., Cizakca, M., Syed Othman, A., Shaikh Hamzah, A. R., Seyed Kazem, S., … Obaidullah, M. (2016). </w:t>
      </w:r>
      <w:r w:rsidRPr="009642D3">
        <w:rPr>
          <w:rFonts w:eastAsia="Times New Roman"/>
          <w:i/>
          <w:iCs/>
          <w:noProof/>
        </w:rPr>
        <w:t>Financing the Development of Old Waqf Properties: Classical Principles and Innovative Practices around the World</w:t>
      </w:r>
      <w:r w:rsidRPr="009642D3">
        <w:rPr>
          <w:rFonts w:eastAsia="Times New Roman"/>
          <w:noProof/>
        </w:rPr>
        <w:t>. Kuala Lumpur: Palgrave Macmillan US.</w:t>
      </w:r>
    </w:p>
    <w:p w14:paraId="36F99D04"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Maznah, Z., Mohamat Sabri, H., &amp; Radziah, A. L. (2014). Pelaporan Wakaf di Malaysia : Mengenalpasti Keperluan Maklumat Pemegang Kepentingan. </w:t>
      </w:r>
      <w:r w:rsidRPr="009642D3">
        <w:rPr>
          <w:rFonts w:eastAsia="Times New Roman"/>
          <w:i/>
          <w:iCs/>
          <w:noProof/>
        </w:rPr>
        <w:t>Persidangan Kebangsaan Ekonomi Malaysia Ke-9</w:t>
      </w:r>
      <w:r w:rsidRPr="009642D3">
        <w:rPr>
          <w:rFonts w:eastAsia="Times New Roman"/>
          <w:noProof/>
        </w:rPr>
        <w:t xml:space="preserve">, </w:t>
      </w:r>
      <w:r w:rsidRPr="009642D3">
        <w:rPr>
          <w:rFonts w:eastAsia="Times New Roman"/>
          <w:i/>
          <w:iCs/>
          <w:noProof/>
        </w:rPr>
        <w:t>9</w:t>
      </w:r>
      <w:r w:rsidRPr="009642D3">
        <w:rPr>
          <w:rFonts w:eastAsia="Times New Roman"/>
          <w:noProof/>
        </w:rPr>
        <w:t>, 226–233.</w:t>
      </w:r>
    </w:p>
    <w:p w14:paraId="21096B49"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MIFC. (2016). </w:t>
      </w:r>
      <w:r w:rsidRPr="009642D3">
        <w:rPr>
          <w:rFonts w:eastAsia="Times New Roman"/>
          <w:i/>
          <w:iCs/>
          <w:noProof/>
        </w:rPr>
        <w:t>SRI &amp; Green Sukuk : Challenges &amp; Prospects</w:t>
      </w:r>
      <w:r w:rsidRPr="009642D3">
        <w:rPr>
          <w:rFonts w:eastAsia="Times New Roman"/>
          <w:noProof/>
        </w:rPr>
        <w:t>.</w:t>
      </w:r>
    </w:p>
    <w:p w14:paraId="01659847"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Ministry of Finance Malaysia. (2013). </w:t>
      </w:r>
      <w:r w:rsidRPr="009642D3">
        <w:rPr>
          <w:rFonts w:eastAsia="Times New Roman"/>
          <w:i/>
          <w:iCs/>
          <w:noProof/>
        </w:rPr>
        <w:t>The 2014 Budget</w:t>
      </w:r>
      <w:r w:rsidRPr="009642D3">
        <w:rPr>
          <w:rFonts w:eastAsia="Times New Roman"/>
          <w:noProof/>
        </w:rPr>
        <w:t>.</w:t>
      </w:r>
    </w:p>
    <w:p w14:paraId="318F9D95"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Moghul, U. F., &amp; Safar-Aly, S. (2015). Green Sukuk: The Introduction of Islam’s Environmental Ethics to Contemporary Islamic Finance.</w:t>
      </w:r>
    </w:p>
    <w:p w14:paraId="6D9D2309"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Mohammad, M.O. &amp; Shahwan, Sue. (2013). The objective of islamic economic and islamic banking in light of maqasid al-shariah: A critical review. Middle East Journal of Scientific Research. 13. 75-84. 10.5829/idosi.mejsr.2013.13.1885.</w:t>
      </w:r>
    </w:p>
    <w:p w14:paraId="405607AB"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Mohammed, N. (2016). The Size of the Islamic Finance Market.</w:t>
      </w:r>
    </w:p>
    <w:p w14:paraId="3F7102DD"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Mohd Marzuki, M. U., Shahimi, S., Ismail, A. G., &amp; Embong, Z. (2012). Tackling Poverty : A Look At Cash Waqf. </w:t>
      </w:r>
      <w:r w:rsidRPr="009642D3">
        <w:rPr>
          <w:rFonts w:eastAsia="Times New Roman"/>
          <w:i/>
          <w:iCs/>
          <w:noProof/>
        </w:rPr>
        <w:t>Prosiding Perkem Vii</w:t>
      </w:r>
      <w:r w:rsidRPr="009642D3">
        <w:rPr>
          <w:rFonts w:eastAsia="Times New Roman"/>
          <w:noProof/>
        </w:rPr>
        <w:t xml:space="preserve">, </w:t>
      </w:r>
      <w:r w:rsidRPr="009642D3">
        <w:rPr>
          <w:rFonts w:eastAsia="Times New Roman"/>
          <w:i/>
          <w:iCs/>
          <w:noProof/>
        </w:rPr>
        <w:t>2</w:t>
      </w:r>
      <w:r w:rsidRPr="009642D3">
        <w:rPr>
          <w:rFonts w:eastAsia="Times New Roman"/>
          <w:noProof/>
        </w:rPr>
        <w:t>, 1611–1623.</w:t>
      </w:r>
    </w:p>
    <w:p w14:paraId="6D87A6A8"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Muhammad Hisyam, M. (2014). Unleashing the Potential of Waqf.</w:t>
      </w:r>
    </w:p>
    <w:p w14:paraId="08117B16"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Ng, A., Mirakhor, A., &amp; Ibrahim, M. H. (2015). </w:t>
      </w:r>
      <w:r w:rsidRPr="009642D3">
        <w:rPr>
          <w:rFonts w:eastAsia="Times New Roman"/>
          <w:i/>
          <w:iCs/>
          <w:noProof/>
        </w:rPr>
        <w:t>Risk Sharing and Social Impact Partnerships</w:t>
      </w:r>
      <w:r w:rsidRPr="009642D3">
        <w:rPr>
          <w:rFonts w:eastAsia="Times New Roman"/>
          <w:noProof/>
        </w:rPr>
        <w:t xml:space="preserve">. </w:t>
      </w:r>
      <w:r w:rsidRPr="009642D3">
        <w:rPr>
          <w:rFonts w:eastAsia="Times New Roman"/>
          <w:i/>
          <w:iCs/>
          <w:noProof/>
        </w:rPr>
        <w:t>Social Capital and Risk Sharing: An Islamic Finance Paradigm</w:t>
      </w:r>
      <w:r w:rsidRPr="009642D3">
        <w:rPr>
          <w:rFonts w:eastAsia="Times New Roman"/>
          <w:noProof/>
        </w:rPr>
        <w:t>. Palgrave Macmillan.</w:t>
      </w:r>
    </w:p>
    <w:p w14:paraId="21ABBECE"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RAM Ratings. (2015). RAM Ratings Assigns AAA(s) Preliminary Rating to Malaysia’s First SRI Sukuk Programme. Retrieved from http://www.ram.com.my/pressReleaseView.aspx?ID=18c18604-695e-4d6c-b5b6-62d958a70c79</w:t>
      </w:r>
    </w:p>
    <w:p w14:paraId="70ED4D41"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Securities Commission. (2011). </w:t>
      </w:r>
      <w:r w:rsidRPr="009642D3">
        <w:rPr>
          <w:rFonts w:eastAsia="Times New Roman"/>
          <w:i/>
          <w:iCs/>
          <w:noProof/>
        </w:rPr>
        <w:t>Capital Market Masterplan 2</w:t>
      </w:r>
      <w:r w:rsidRPr="009642D3">
        <w:rPr>
          <w:rFonts w:eastAsia="Times New Roman"/>
          <w:noProof/>
        </w:rPr>
        <w:t>.</w:t>
      </w:r>
    </w:p>
    <w:p w14:paraId="5AB9B025"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Securities Commission. (2014). Press Release: SC Introduces Sustainable and Responsible Investment Sukuk Framework. Retrieved from https://www.sc.com.my/post_archive/sc-introduces-sustainable-and-responsible-investment-sukuk-framework/</w:t>
      </w:r>
    </w:p>
    <w:p w14:paraId="52175371"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 xml:space="preserve">Shamsiah Abdul-Karim. (2010). </w:t>
      </w:r>
      <w:r w:rsidRPr="009642D3">
        <w:rPr>
          <w:rFonts w:eastAsia="Times New Roman"/>
          <w:i/>
          <w:iCs/>
          <w:noProof/>
        </w:rPr>
        <w:t>CONTEMPORARY SHARI’AH STRUCTURING FOR THE DEVELOPMENT AND MANAGEMENT OF WAQF ASSETS IN SINGAPORE</w:t>
      </w:r>
      <w:r w:rsidRPr="009642D3">
        <w:rPr>
          <w:rFonts w:eastAsia="Times New Roman"/>
          <w:noProof/>
        </w:rPr>
        <w:t>. Durham University. Retrieved from http://etheses.dur.ac.uk/778/</w:t>
      </w:r>
    </w:p>
    <w:p w14:paraId="63E9076A" w14:textId="082B5F3D"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Siti Asishah, H., &amp; Rusnadewi, A. R. (2015). Towards Improvement of the Rights and Duties of Mutawalli and Nazir in the Management and</w:t>
      </w:r>
      <w:r>
        <w:rPr>
          <w:rFonts w:eastAsia="Times New Roman"/>
          <w:noProof/>
        </w:rPr>
        <w:t xml:space="preserve"> Administration of Waqf Assets.</w:t>
      </w:r>
    </w:p>
    <w:p w14:paraId="7DCE66E3"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lastRenderedPageBreak/>
        <w:t>SRI Connect. (n.d.-a). 21 SRI Strategies. Retrieved from https://www.sri-connect.com/index.php?option=com_content&amp;view=article&amp;id=2&amp;Itemid=81</w:t>
      </w:r>
    </w:p>
    <w:p w14:paraId="724E1C8E"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SRI Connect. (n.d.-b). Prejudices About SRI Investment Performance. Retrieved from https://www.sri-connect.com/index.php?option=com_content&amp;view=article&amp;id=7&amp;Itemid=86</w:t>
      </w:r>
    </w:p>
    <w:p w14:paraId="39AA6ACC"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Tahir, M., Abdul Hamid, M. I., &amp; Ismail, O. (2005). An Ideal Financial Mechanism for the Development of the Waqf Properties in Malaysia, 1–168.</w:t>
      </w:r>
    </w:p>
    <w:p w14:paraId="18DCD578"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US SIF. (2016a). 2016 Trends Report Highlights Snapshot of US Sustainable , Responsible and Impact Investing. Retrieved from http://www.ussif.org/files/Trends/US SIF 2016 Trends Overview.pdf</w:t>
      </w:r>
    </w:p>
    <w:p w14:paraId="6AF6201A"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r w:rsidRPr="009642D3">
        <w:rPr>
          <w:rFonts w:eastAsia="Times New Roman"/>
          <w:noProof/>
        </w:rPr>
        <w:t>US SIF. (2016b). SRI Basics. Retrieved from http://www.ussif.org/sribasics</w:t>
      </w:r>
    </w:p>
    <w:p w14:paraId="7F3A7888"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p>
    <w:p w14:paraId="012EF99D" w14:textId="77777777" w:rsidR="009642D3" w:rsidRPr="009642D3" w:rsidRDefault="009642D3" w:rsidP="009642D3">
      <w:pPr>
        <w:widowControl w:val="0"/>
        <w:autoSpaceDE w:val="0"/>
        <w:autoSpaceDN w:val="0"/>
        <w:adjustRightInd w:val="0"/>
        <w:spacing w:line="240" w:lineRule="auto"/>
        <w:ind w:left="567" w:hanging="567"/>
        <w:jc w:val="left"/>
        <w:rPr>
          <w:rFonts w:eastAsia="Times New Roman"/>
          <w:noProof/>
        </w:rPr>
      </w:pPr>
    </w:p>
    <w:p w14:paraId="022AA76C" w14:textId="77777777" w:rsidR="009642D3" w:rsidRPr="009642D3" w:rsidRDefault="009642D3" w:rsidP="009642D3">
      <w:pPr>
        <w:widowControl w:val="0"/>
        <w:autoSpaceDE w:val="0"/>
        <w:autoSpaceDN w:val="0"/>
        <w:adjustRightInd w:val="0"/>
        <w:spacing w:line="240" w:lineRule="auto"/>
        <w:ind w:left="567" w:hanging="567"/>
        <w:jc w:val="left"/>
        <w:rPr>
          <w:noProof/>
        </w:rPr>
      </w:pPr>
    </w:p>
    <w:p w14:paraId="05CE379F" w14:textId="3965943B" w:rsidR="009642D3" w:rsidRPr="009642D3" w:rsidRDefault="009642D3" w:rsidP="009642D3">
      <w:pPr>
        <w:spacing w:line="240" w:lineRule="auto"/>
        <w:ind w:left="567" w:hanging="567"/>
        <w:jc w:val="left"/>
      </w:pPr>
      <w:r w:rsidRPr="009642D3">
        <w:fldChar w:fldCharType="end"/>
      </w:r>
    </w:p>
    <w:sectPr w:rsidR="009642D3" w:rsidRPr="009642D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9B22" w14:textId="77777777" w:rsidR="004D4FFE" w:rsidRDefault="004D4FFE" w:rsidP="00B20F6D">
      <w:pPr>
        <w:spacing w:after="0" w:line="240" w:lineRule="auto"/>
      </w:pPr>
      <w:r>
        <w:separator/>
      </w:r>
    </w:p>
  </w:endnote>
  <w:endnote w:type="continuationSeparator" w:id="0">
    <w:p w14:paraId="3EE5D81E" w14:textId="77777777" w:rsidR="004D4FFE" w:rsidRDefault="004D4FFE" w:rsidP="00B2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KaiTi">
    <w:panose1 w:val="02010609060101010101"/>
    <w:charset w:val="86"/>
    <w:family w:val="modern"/>
    <w:pitch w:val="fixed"/>
    <w:sig w:usb0="800002BF" w:usb1="38CF7CFA" w:usb2="00000016" w:usb3="00000000" w:csb0="00040001" w:csb1="00000000"/>
  </w:font>
  <w:font w:name="Lucida Grande">
    <w:altName w:val="Arial"/>
    <w:charset w:val="00"/>
    <w:family w:val="auto"/>
    <w:pitch w:val="variable"/>
    <w:sig w:usb0="00000000" w:usb1="5000A1FF" w:usb2="00000000" w:usb3="00000000" w:csb0="000001BF" w:csb1="00000000"/>
  </w:font>
  <w:font w:name="Galli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AB30" w14:textId="77777777" w:rsidR="004D4FFE" w:rsidRDefault="004D4FFE" w:rsidP="00B20F6D">
      <w:pPr>
        <w:spacing w:after="0" w:line="240" w:lineRule="auto"/>
      </w:pPr>
      <w:r>
        <w:separator/>
      </w:r>
    </w:p>
  </w:footnote>
  <w:footnote w:type="continuationSeparator" w:id="0">
    <w:p w14:paraId="5305920C" w14:textId="77777777" w:rsidR="004D4FFE" w:rsidRDefault="004D4FFE" w:rsidP="00B20F6D">
      <w:pPr>
        <w:spacing w:after="0" w:line="240" w:lineRule="auto"/>
      </w:pPr>
      <w:r>
        <w:continuationSeparator/>
      </w:r>
    </w:p>
  </w:footnote>
  <w:footnote w:id="1">
    <w:p w14:paraId="3FF17874" w14:textId="77777777" w:rsidR="008A76E1" w:rsidRDefault="008A76E1" w:rsidP="008A76E1">
      <w:pPr>
        <w:pStyle w:val="NormalWeb"/>
        <w:rPr>
          <w:sz w:val="20"/>
          <w:szCs w:val="20"/>
        </w:rPr>
      </w:pPr>
      <w:r>
        <w:rPr>
          <w:rStyle w:val="FootnoteReference"/>
          <w:rFonts w:eastAsiaTheme="majorEastAsia"/>
        </w:rPr>
        <w:footnoteRef/>
      </w:r>
      <w:r>
        <w:rPr>
          <w:sz w:val="20"/>
          <w:szCs w:val="20"/>
        </w:rPr>
        <w:t xml:space="preserve"> Shaik Omar Bin Ali Aljunied, an Arab merchant, was born in 1792 and passed away in the year 1852. In 1821 he took up residence in Singapore and built the Mosque in 1845. </w:t>
      </w:r>
    </w:p>
  </w:footnote>
  <w:footnote w:id="2">
    <w:p w14:paraId="2DA6D8ED" w14:textId="77777777" w:rsidR="008A76E1" w:rsidRDefault="008A76E1" w:rsidP="008A76E1">
      <w:pPr>
        <w:pStyle w:val="NormalWeb"/>
        <w:rPr>
          <w:sz w:val="20"/>
          <w:szCs w:val="20"/>
        </w:rPr>
      </w:pPr>
      <w:r>
        <w:rPr>
          <w:rStyle w:val="FootnoteReference"/>
          <w:rFonts w:eastAsiaTheme="majorEastAsia"/>
        </w:rPr>
        <w:footnoteRef/>
      </w:r>
      <w:r>
        <w:rPr>
          <w:sz w:val="20"/>
          <w:szCs w:val="20"/>
        </w:rPr>
        <w:t xml:space="preserve"> Muis Annual Report 1999</w:t>
      </w:r>
    </w:p>
  </w:footnote>
  <w:footnote w:id="3">
    <w:p w14:paraId="74DCCD51" w14:textId="77777777" w:rsidR="008A76E1" w:rsidRDefault="008A76E1" w:rsidP="008A76E1">
      <w:pPr>
        <w:pStyle w:val="NormalWeb"/>
      </w:pPr>
      <w:r>
        <w:rPr>
          <w:rStyle w:val="FootnoteReference"/>
          <w:rFonts w:eastAsiaTheme="majorEastAsia"/>
        </w:rPr>
        <w:footnoteRef/>
      </w:r>
      <w:r>
        <w:rPr>
          <w:sz w:val="20"/>
          <w:szCs w:val="20"/>
        </w:rPr>
        <w:t xml:space="preserve"> Singapore Management University (SMU) is the 3</w:t>
      </w:r>
      <w:r>
        <w:rPr>
          <w:sz w:val="20"/>
          <w:szCs w:val="20"/>
          <w:vertAlign w:val="superscript"/>
        </w:rPr>
        <w:t>rd</w:t>
      </w:r>
      <w:r>
        <w:rPr>
          <w:sz w:val="20"/>
          <w:szCs w:val="20"/>
        </w:rPr>
        <w:t xml:space="preserve"> University in Singapore catering to the niche area of business &amp; law.</w:t>
      </w:r>
    </w:p>
  </w:footnote>
  <w:footnote w:id="4">
    <w:p w14:paraId="5B7CC63A" w14:textId="77777777" w:rsidR="00F73ABE" w:rsidRPr="009D436D" w:rsidRDefault="00F73ABE" w:rsidP="00F73ABE">
      <w:pPr>
        <w:pStyle w:val="FootnoteText"/>
        <w:rPr>
          <w:lang w:val="en-US"/>
        </w:rPr>
      </w:pPr>
      <w:r w:rsidRPr="00514B8B">
        <w:rPr>
          <w:rStyle w:val="FootnoteReference"/>
        </w:rPr>
        <w:footnoteRef/>
      </w:r>
      <w:r>
        <w:t xml:space="preserve"> </w:t>
      </w:r>
      <w:r w:rsidRPr="009D436D">
        <w:rPr>
          <w:rFonts w:ascii="Galliard" w:hAnsi="Galliard"/>
          <w:sz w:val="16"/>
          <w:szCs w:val="14"/>
        </w:rPr>
        <w:t>For the purpose of anonymity, names of individuals and their respective organizations have not been revealed.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BC"/>
    <w:multiLevelType w:val="multilevel"/>
    <w:tmpl w:val="4BA69E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A356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E51D9"/>
    <w:multiLevelType w:val="multilevel"/>
    <w:tmpl w:val="1C58E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3D4AF6"/>
    <w:multiLevelType w:val="hybridMultilevel"/>
    <w:tmpl w:val="04F803BC"/>
    <w:lvl w:ilvl="0" w:tplc="37ECE00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D117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30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87255"/>
    <w:multiLevelType w:val="hybridMultilevel"/>
    <w:tmpl w:val="5E4CE0B4"/>
    <w:lvl w:ilvl="0" w:tplc="16E48096">
      <w:start w:val="1"/>
      <w:numFmt w:val="decimal"/>
      <w:lvlText w:val="%1."/>
      <w:lvlJc w:val="left"/>
      <w:pPr>
        <w:tabs>
          <w:tab w:val="num" w:pos="720"/>
        </w:tabs>
        <w:ind w:left="720" w:hanging="360"/>
      </w:pPr>
    </w:lvl>
    <w:lvl w:ilvl="1" w:tplc="7DC2EE1C" w:tentative="1">
      <w:start w:val="1"/>
      <w:numFmt w:val="decimal"/>
      <w:lvlText w:val="%2."/>
      <w:lvlJc w:val="left"/>
      <w:pPr>
        <w:tabs>
          <w:tab w:val="num" w:pos="1440"/>
        </w:tabs>
        <w:ind w:left="1440" w:hanging="360"/>
      </w:pPr>
    </w:lvl>
    <w:lvl w:ilvl="2" w:tplc="6240AB08" w:tentative="1">
      <w:start w:val="1"/>
      <w:numFmt w:val="decimal"/>
      <w:lvlText w:val="%3."/>
      <w:lvlJc w:val="left"/>
      <w:pPr>
        <w:tabs>
          <w:tab w:val="num" w:pos="2160"/>
        </w:tabs>
        <w:ind w:left="2160" w:hanging="360"/>
      </w:pPr>
    </w:lvl>
    <w:lvl w:ilvl="3" w:tplc="BFBC16DA" w:tentative="1">
      <w:start w:val="1"/>
      <w:numFmt w:val="decimal"/>
      <w:lvlText w:val="%4."/>
      <w:lvlJc w:val="left"/>
      <w:pPr>
        <w:tabs>
          <w:tab w:val="num" w:pos="2880"/>
        </w:tabs>
        <w:ind w:left="2880" w:hanging="360"/>
      </w:pPr>
    </w:lvl>
    <w:lvl w:ilvl="4" w:tplc="22E050B0" w:tentative="1">
      <w:start w:val="1"/>
      <w:numFmt w:val="decimal"/>
      <w:lvlText w:val="%5."/>
      <w:lvlJc w:val="left"/>
      <w:pPr>
        <w:tabs>
          <w:tab w:val="num" w:pos="3600"/>
        </w:tabs>
        <w:ind w:left="3600" w:hanging="360"/>
      </w:pPr>
    </w:lvl>
    <w:lvl w:ilvl="5" w:tplc="F7D655EE" w:tentative="1">
      <w:start w:val="1"/>
      <w:numFmt w:val="decimal"/>
      <w:lvlText w:val="%6."/>
      <w:lvlJc w:val="left"/>
      <w:pPr>
        <w:tabs>
          <w:tab w:val="num" w:pos="4320"/>
        </w:tabs>
        <w:ind w:left="4320" w:hanging="360"/>
      </w:pPr>
    </w:lvl>
    <w:lvl w:ilvl="6" w:tplc="F716BF6A" w:tentative="1">
      <w:start w:val="1"/>
      <w:numFmt w:val="decimal"/>
      <w:lvlText w:val="%7."/>
      <w:lvlJc w:val="left"/>
      <w:pPr>
        <w:tabs>
          <w:tab w:val="num" w:pos="5040"/>
        </w:tabs>
        <w:ind w:left="5040" w:hanging="360"/>
      </w:pPr>
    </w:lvl>
    <w:lvl w:ilvl="7" w:tplc="F93402BC" w:tentative="1">
      <w:start w:val="1"/>
      <w:numFmt w:val="decimal"/>
      <w:lvlText w:val="%8."/>
      <w:lvlJc w:val="left"/>
      <w:pPr>
        <w:tabs>
          <w:tab w:val="num" w:pos="5760"/>
        </w:tabs>
        <w:ind w:left="5760" w:hanging="360"/>
      </w:pPr>
    </w:lvl>
    <w:lvl w:ilvl="8" w:tplc="5D4ED3B2" w:tentative="1">
      <w:start w:val="1"/>
      <w:numFmt w:val="decimal"/>
      <w:lvlText w:val="%9."/>
      <w:lvlJc w:val="left"/>
      <w:pPr>
        <w:tabs>
          <w:tab w:val="num" w:pos="6480"/>
        </w:tabs>
        <w:ind w:left="6480" w:hanging="360"/>
      </w:pPr>
    </w:lvl>
  </w:abstractNum>
  <w:abstractNum w:abstractNumId="7" w15:restartNumberingAfterBreak="0">
    <w:nsid w:val="19576179"/>
    <w:multiLevelType w:val="multilevel"/>
    <w:tmpl w:val="EC5C48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34B3F0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7E1773"/>
    <w:multiLevelType w:val="hybridMultilevel"/>
    <w:tmpl w:val="A3F8FBC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610006E"/>
    <w:multiLevelType w:val="multilevel"/>
    <w:tmpl w:val="C0EEFF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D22D5"/>
    <w:multiLevelType w:val="hybridMultilevel"/>
    <w:tmpl w:val="D9CE5FB0"/>
    <w:lvl w:ilvl="0" w:tplc="31C4B5F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6755C"/>
    <w:multiLevelType w:val="hybridMultilevel"/>
    <w:tmpl w:val="D458C650"/>
    <w:lvl w:ilvl="0" w:tplc="9618C23E">
      <w:start w:val="1"/>
      <w:numFmt w:val="decimal"/>
      <w:lvlText w:val="%1."/>
      <w:lvlJc w:val="left"/>
      <w:pPr>
        <w:tabs>
          <w:tab w:val="num" w:pos="720"/>
        </w:tabs>
        <w:ind w:left="720" w:hanging="360"/>
      </w:pPr>
    </w:lvl>
    <w:lvl w:ilvl="1" w:tplc="6DA81DEE">
      <w:start w:val="1"/>
      <w:numFmt w:val="decimal"/>
      <w:lvlText w:val="%2."/>
      <w:lvlJc w:val="left"/>
      <w:pPr>
        <w:tabs>
          <w:tab w:val="num" w:pos="1440"/>
        </w:tabs>
        <w:ind w:left="1440" w:hanging="360"/>
      </w:pPr>
    </w:lvl>
    <w:lvl w:ilvl="2" w:tplc="9390757A">
      <w:start w:val="1"/>
      <w:numFmt w:val="decimal"/>
      <w:lvlText w:val="%3."/>
      <w:lvlJc w:val="left"/>
      <w:pPr>
        <w:tabs>
          <w:tab w:val="num" w:pos="2160"/>
        </w:tabs>
        <w:ind w:left="2160" w:hanging="360"/>
      </w:pPr>
    </w:lvl>
    <w:lvl w:ilvl="3" w:tplc="562E78A4">
      <w:start w:val="1"/>
      <w:numFmt w:val="decimal"/>
      <w:lvlText w:val="%4."/>
      <w:lvlJc w:val="left"/>
      <w:pPr>
        <w:tabs>
          <w:tab w:val="num" w:pos="2880"/>
        </w:tabs>
        <w:ind w:left="2880" w:hanging="360"/>
      </w:pPr>
    </w:lvl>
    <w:lvl w:ilvl="4" w:tplc="D25A82EA">
      <w:start w:val="1"/>
      <w:numFmt w:val="decimal"/>
      <w:lvlText w:val="%5."/>
      <w:lvlJc w:val="left"/>
      <w:pPr>
        <w:tabs>
          <w:tab w:val="num" w:pos="3600"/>
        </w:tabs>
        <w:ind w:left="3600" w:hanging="360"/>
      </w:pPr>
    </w:lvl>
    <w:lvl w:ilvl="5" w:tplc="BDD0678A">
      <w:start w:val="1"/>
      <w:numFmt w:val="decimal"/>
      <w:lvlText w:val="%6."/>
      <w:lvlJc w:val="left"/>
      <w:pPr>
        <w:tabs>
          <w:tab w:val="num" w:pos="4320"/>
        </w:tabs>
        <w:ind w:left="4320" w:hanging="360"/>
      </w:pPr>
    </w:lvl>
    <w:lvl w:ilvl="6" w:tplc="8BD4EC9A">
      <w:start w:val="1"/>
      <w:numFmt w:val="decimal"/>
      <w:lvlText w:val="%7."/>
      <w:lvlJc w:val="left"/>
      <w:pPr>
        <w:tabs>
          <w:tab w:val="num" w:pos="5040"/>
        </w:tabs>
        <w:ind w:left="5040" w:hanging="360"/>
      </w:pPr>
    </w:lvl>
    <w:lvl w:ilvl="7" w:tplc="63784772">
      <w:start w:val="1"/>
      <w:numFmt w:val="decimal"/>
      <w:lvlText w:val="%8."/>
      <w:lvlJc w:val="left"/>
      <w:pPr>
        <w:tabs>
          <w:tab w:val="num" w:pos="5760"/>
        </w:tabs>
        <w:ind w:left="5760" w:hanging="360"/>
      </w:pPr>
    </w:lvl>
    <w:lvl w:ilvl="8" w:tplc="740ED264">
      <w:start w:val="1"/>
      <w:numFmt w:val="decimal"/>
      <w:lvlText w:val="%9."/>
      <w:lvlJc w:val="left"/>
      <w:pPr>
        <w:tabs>
          <w:tab w:val="num" w:pos="6480"/>
        </w:tabs>
        <w:ind w:left="6480" w:hanging="360"/>
      </w:pPr>
    </w:lvl>
  </w:abstractNum>
  <w:abstractNum w:abstractNumId="13" w15:restartNumberingAfterBreak="0">
    <w:nsid w:val="28CA7DF4"/>
    <w:multiLevelType w:val="multilevel"/>
    <w:tmpl w:val="FBCC54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485EBD"/>
    <w:multiLevelType w:val="multilevel"/>
    <w:tmpl w:val="DAA4659A"/>
    <w:lvl w:ilvl="0">
      <w:start w:val="1"/>
      <w:numFmt w:val="decimal"/>
      <w:lvlText w:val="%1."/>
      <w:lvlJc w:val="left"/>
      <w:pPr>
        <w:ind w:left="294" w:hanging="360"/>
      </w:pPr>
    </w:lvl>
    <w:lvl w:ilvl="1">
      <w:start w:val="2"/>
      <w:numFmt w:val="decimal"/>
      <w:isLgl/>
      <w:lvlText w:val="%1.%2"/>
      <w:lvlJc w:val="left"/>
      <w:pPr>
        <w:ind w:left="616" w:hanging="660"/>
      </w:pPr>
      <w:rPr>
        <w:rFonts w:hint="default"/>
      </w:rPr>
    </w:lvl>
    <w:lvl w:ilvl="2">
      <w:start w:val="1"/>
      <w:numFmt w:val="decimal"/>
      <w:isLgl/>
      <w:lvlText w:val="%1.%2.%3"/>
      <w:lvlJc w:val="left"/>
      <w:pPr>
        <w:ind w:left="698" w:hanging="720"/>
      </w:pPr>
      <w:rPr>
        <w:rFonts w:hint="default"/>
      </w:rPr>
    </w:lvl>
    <w:lvl w:ilvl="3">
      <w:start w:val="1"/>
      <w:numFmt w:val="lowerLetter"/>
      <w:lvlText w:val="%4)"/>
      <w:lvlJc w:val="left"/>
      <w:pPr>
        <w:ind w:left="360" w:hanging="36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28" w:hanging="1440"/>
      </w:pPr>
      <w:rPr>
        <w:rFonts w:hint="default"/>
      </w:rPr>
    </w:lvl>
    <w:lvl w:ilvl="8">
      <w:start w:val="1"/>
      <w:numFmt w:val="decimal"/>
      <w:isLgl/>
      <w:lvlText w:val="%1.%2.%3.%4.%5.%6.%7.%8.%9"/>
      <w:lvlJc w:val="left"/>
      <w:pPr>
        <w:ind w:left="1910" w:hanging="1800"/>
      </w:pPr>
      <w:rPr>
        <w:rFonts w:hint="default"/>
      </w:rPr>
    </w:lvl>
  </w:abstractNum>
  <w:abstractNum w:abstractNumId="15" w15:restartNumberingAfterBreak="0">
    <w:nsid w:val="29862421"/>
    <w:multiLevelType w:val="hybridMultilevel"/>
    <w:tmpl w:val="F718DA1C"/>
    <w:lvl w:ilvl="0" w:tplc="5452520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52F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1E4C5F"/>
    <w:multiLevelType w:val="hybridMultilevel"/>
    <w:tmpl w:val="5B26417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04B5A1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0A571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A51DF7"/>
    <w:multiLevelType w:val="hybridMultilevel"/>
    <w:tmpl w:val="E2904776"/>
    <w:lvl w:ilvl="0" w:tplc="1528E08A">
      <w:start w:val="2"/>
      <w:numFmt w:val="decimal"/>
      <w:lvlText w:val="%1."/>
      <w:lvlJc w:val="left"/>
      <w:pPr>
        <w:tabs>
          <w:tab w:val="num" w:pos="720"/>
        </w:tabs>
        <w:ind w:left="720" w:hanging="360"/>
      </w:pPr>
    </w:lvl>
    <w:lvl w:ilvl="1" w:tplc="A81A96C0" w:tentative="1">
      <w:start w:val="1"/>
      <w:numFmt w:val="decimal"/>
      <w:lvlText w:val="%2."/>
      <w:lvlJc w:val="left"/>
      <w:pPr>
        <w:tabs>
          <w:tab w:val="num" w:pos="1440"/>
        </w:tabs>
        <w:ind w:left="1440" w:hanging="360"/>
      </w:pPr>
    </w:lvl>
    <w:lvl w:ilvl="2" w:tplc="E3360ECE" w:tentative="1">
      <w:start w:val="1"/>
      <w:numFmt w:val="decimal"/>
      <w:lvlText w:val="%3."/>
      <w:lvlJc w:val="left"/>
      <w:pPr>
        <w:tabs>
          <w:tab w:val="num" w:pos="2160"/>
        </w:tabs>
        <w:ind w:left="2160" w:hanging="360"/>
      </w:pPr>
    </w:lvl>
    <w:lvl w:ilvl="3" w:tplc="7B5C09D8" w:tentative="1">
      <w:start w:val="1"/>
      <w:numFmt w:val="decimal"/>
      <w:lvlText w:val="%4."/>
      <w:lvlJc w:val="left"/>
      <w:pPr>
        <w:tabs>
          <w:tab w:val="num" w:pos="2880"/>
        </w:tabs>
        <w:ind w:left="2880" w:hanging="360"/>
      </w:pPr>
    </w:lvl>
    <w:lvl w:ilvl="4" w:tplc="0C6A95F6" w:tentative="1">
      <w:start w:val="1"/>
      <w:numFmt w:val="decimal"/>
      <w:lvlText w:val="%5."/>
      <w:lvlJc w:val="left"/>
      <w:pPr>
        <w:tabs>
          <w:tab w:val="num" w:pos="3600"/>
        </w:tabs>
        <w:ind w:left="3600" w:hanging="360"/>
      </w:pPr>
    </w:lvl>
    <w:lvl w:ilvl="5" w:tplc="9AE24C02" w:tentative="1">
      <w:start w:val="1"/>
      <w:numFmt w:val="decimal"/>
      <w:lvlText w:val="%6."/>
      <w:lvlJc w:val="left"/>
      <w:pPr>
        <w:tabs>
          <w:tab w:val="num" w:pos="4320"/>
        </w:tabs>
        <w:ind w:left="4320" w:hanging="360"/>
      </w:pPr>
    </w:lvl>
    <w:lvl w:ilvl="6" w:tplc="693C95F4" w:tentative="1">
      <w:start w:val="1"/>
      <w:numFmt w:val="decimal"/>
      <w:lvlText w:val="%7."/>
      <w:lvlJc w:val="left"/>
      <w:pPr>
        <w:tabs>
          <w:tab w:val="num" w:pos="5040"/>
        </w:tabs>
        <w:ind w:left="5040" w:hanging="360"/>
      </w:pPr>
    </w:lvl>
    <w:lvl w:ilvl="7" w:tplc="168AF7D6" w:tentative="1">
      <w:start w:val="1"/>
      <w:numFmt w:val="decimal"/>
      <w:lvlText w:val="%8."/>
      <w:lvlJc w:val="left"/>
      <w:pPr>
        <w:tabs>
          <w:tab w:val="num" w:pos="5760"/>
        </w:tabs>
        <w:ind w:left="5760" w:hanging="360"/>
      </w:pPr>
    </w:lvl>
    <w:lvl w:ilvl="8" w:tplc="95BE2128" w:tentative="1">
      <w:start w:val="1"/>
      <w:numFmt w:val="decimal"/>
      <w:lvlText w:val="%9."/>
      <w:lvlJc w:val="left"/>
      <w:pPr>
        <w:tabs>
          <w:tab w:val="num" w:pos="6480"/>
        </w:tabs>
        <w:ind w:left="6480" w:hanging="360"/>
      </w:pPr>
    </w:lvl>
  </w:abstractNum>
  <w:abstractNum w:abstractNumId="21" w15:restartNumberingAfterBreak="0">
    <w:nsid w:val="355113DA"/>
    <w:multiLevelType w:val="hybridMultilevel"/>
    <w:tmpl w:val="A2762E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64A58"/>
    <w:multiLevelType w:val="multilevel"/>
    <w:tmpl w:val="8CC60F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7F1582B"/>
    <w:multiLevelType w:val="multilevel"/>
    <w:tmpl w:val="3782C5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2B08BD"/>
    <w:multiLevelType w:val="hybridMultilevel"/>
    <w:tmpl w:val="D458C650"/>
    <w:lvl w:ilvl="0" w:tplc="9618C23E">
      <w:start w:val="1"/>
      <w:numFmt w:val="decimal"/>
      <w:lvlText w:val="%1."/>
      <w:lvlJc w:val="left"/>
      <w:pPr>
        <w:tabs>
          <w:tab w:val="num" w:pos="720"/>
        </w:tabs>
        <w:ind w:left="720" w:hanging="360"/>
      </w:pPr>
    </w:lvl>
    <w:lvl w:ilvl="1" w:tplc="6DA81DEE">
      <w:start w:val="1"/>
      <w:numFmt w:val="decimal"/>
      <w:lvlText w:val="%2."/>
      <w:lvlJc w:val="left"/>
      <w:pPr>
        <w:tabs>
          <w:tab w:val="num" w:pos="1440"/>
        </w:tabs>
        <w:ind w:left="1440" w:hanging="360"/>
      </w:pPr>
    </w:lvl>
    <w:lvl w:ilvl="2" w:tplc="9390757A">
      <w:start w:val="1"/>
      <w:numFmt w:val="decimal"/>
      <w:lvlText w:val="%3."/>
      <w:lvlJc w:val="left"/>
      <w:pPr>
        <w:tabs>
          <w:tab w:val="num" w:pos="2160"/>
        </w:tabs>
        <w:ind w:left="2160" w:hanging="360"/>
      </w:pPr>
    </w:lvl>
    <w:lvl w:ilvl="3" w:tplc="562E78A4">
      <w:start w:val="1"/>
      <w:numFmt w:val="decimal"/>
      <w:lvlText w:val="%4."/>
      <w:lvlJc w:val="left"/>
      <w:pPr>
        <w:tabs>
          <w:tab w:val="num" w:pos="2880"/>
        </w:tabs>
        <w:ind w:left="2880" w:hanging="360"/>
      </w:pPr>
    </w:lvl>
    <w:lvl w:ilvl="4" w:tplc="D25A82EA">
      <w:start w:val="1"/>
      <w:numFmt w:val="decimal"/>
      <w:lvlText w:val="%5."/>
      <w:lvlJc w:val="left"/>
      <w:pPr>
        <w:tabs>
          <w:tab w:val="num" w:pos="3600"/>
        </w:tabs>
        <w:ind w:left="3600" w:hanging="360"/>
      </w:pPr>
    </w:lvl>
    <w:lvl w:ilvl="5" w:tplc="BDD0678A">
      <w:start w:val="1"/>
      <w:numFmt w:val="decimal"/>
      <w:lvlText w:val="%6."/>
      <w:lvlJc w:val="left"/>
      <w:pPr>
        <w:tabs>
          <w:tab w:val="num" w:pos="4320"/>
        </w:tabs>
        <w:ind w:left="4320" w:hanging="360"/>
      </w:pPr>
    </w:lvl>
    <w:lvl w:ilvl="6" w:tplc="8BD4EC9A">
      <w:start w:val="1"/>
      <w:numFmt w:val="decimal"/>
      <w:lvlText w:val="%7."/>
      <w:lvlJc w:val="left"/>
      <w:pPr>
        <w:tabs>
          <w:tab w:val="num" w:pos="5040"/>
        </w:tabs>
        <w:ind w:left="5040" w:hanging="360"/>
      </w:pPr>
    </w:lvl>
    <w:lvl w:ilvl="7" w:tplc="63784772">
      <w:start w:val="1"/>
      <w:numFmt w:val="decimal"/>
      <w:lvlText w:val="%8."/>
      <w:lvlJc w:val="left"/>
      <w:pPr>
        <w:tabs>
          <w:tab w:val="num" w:pos="5760"/>
        </w:tabs>
        <w:ind w:left="5760" w:hanging="360"/>
      </w:pPr>
    </w:lvl>
    <w:lvl w:ilvl="8" w:tplc="740ED264">
      <w:start w:val="1"/>
      <w:numFmt w:val="decimal"/>
      <w:lvlText w:val="%9."/>
      <w:lvlJc w:val="left"/>
      <w:pPr>
        <w:tabs>
          <w:tab w:val="num" w:pos="6480"/>
        </w:tabs>
        <w:ind w:left="6480" w:hanging="360"/>
      </w:pPr>
    </w:lvl>
  </w:abstractNum>
  <w:abstractNum w:abstractNumId="25" w15:restartNumberingAfterBreak="0">
    <w:nsid w:val="3906545C"/>
    <w:multiLevelType w:val="multilevel"/>
    <w:tmpl w:val="E6F001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A7966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AA7481"/>
    <w:multiLevelType w:val="hybridMultilevel"/>
    <w:tmpl w:val="91E6AE1C"/>
    <w:lvl w:ilvl="0" w:tplc="D2B27E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8E213F"/>
    <w:multiLevelType w:val="multilevel"/>
    <w:tmpl w:val="4AB6B5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59D4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B13B57"/>
    <w:multiLevelType w:val="multilevel"/>
    <w:tmpl w:val="73609E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9F2374"/>
    <w:multiLevelType w:val="multilevel"/>
    <w:tmpl w:val="04E88DB8"/>
    <w:lvl w:ilvl="0">
      <w:start w:val="1"/>
      <w:numFmt w:val="decimal"/>
      <w:lvlText w:val="CHAPTER %1: "/>
      <w:lvlJc w:val="center"/>
      <w:pPr>
        <w:ind w:left="0" w:firstLine="1418"/>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D7674E5"/>
    <w:multiLevelType w:val="multilevel"/>
    <w:tmpl w:val="115A2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750527"/>
    <w:multiLevelType w:val="multilevel"/>
    <w:tmpl w:val="9E42E7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EC3592"/>
    <w:multiLevelType w:val="hybridMultilevel"/>
    <w:tmpl w:val="1CAC692E"/>
    <w:lvl w:ilvl="0" w:tplc="38E65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D77A73"/>
    <w:multiLevelType w:val="hybridMultilevel"/>
    <w:tmpl w:val="04B26AE4"/>
    <w:lvl w:ilvl="0" w:tplc="4B1CBE82">
      <w:start w:val="1"/>
      <w:numFmt w:val="lowerRoman"/>
      <w:lvlText w:val="%1."/>
      <w:lvlJc w:val="left"/>
      <w:pPr>
        <w:ind w:left="1134" w:hanging="45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9572FA6"/>
    <w:multiLevelType w:val="hybridMultilevel"/>
    <w:tmpl w:val="5E4CE0B4"/>
    <w:lvl w:ilvl="0" w:tplc="16E48096">
      <w:start w:val="1"/>
      <w:numFmt w:val="decimal"/>
      <w:lvlText w:val="%1."/>
      <w:lvlJc w:val="left"/>
      <w:pPr>
        <w:tabs>
          <w:tab w:val="num" w:pos="720"/>
        </w:tabs>
        <w:ind w:left="720" w:hanging="360"/>
      </w:pPr>
    </w:lvl>
    <w:lvl w:ilvl="1" w:tplc="7DC2EE1C" w:tentative="1">
      <w:start w:val="1"/>
      <w:numFmt w:val="decimal"/>
      <w:lvlText w:val="%2."/>
      <w:lvlJc w:val="left"/>
      <w:pPr>
        <w:tabs>
          <w:tab w:val="num" w:pos="1440"/>
        </w:tabs>
        <w:ind w:left="1440" w:hanging="360"/>
      </w:pPr>
    </w:lvl>
    <w:lvl w:ilvl="2" w:tplc="6240AB08" w:tentative="1">
      <w:start w:val="1"/>
      <w:numFmt w:val="decimal"/>
      <w:lvlText w:val="%3."/>
      <w:lvlJc w:val="left"/>
      <w:pPr>
        <w:tabs>
          <w:tab w:val="num" w:pos="2160"/>
        </w:tabs>
        <w:ind w:left="2160" w:hanging="360"/>
      </w:pPr>
    </w:lvl>
    <w:lvl w:ilvl="3" w:tplc="BFBC16DA" w:tentative="1">
      <w:start w:val="1"/>
      <w:numFmt w:val="decimal"/>
      <w:lvlText w:val="%4."/>
      <w:lvlJc w:val="left"/>
      <w:pPr>
        <w:tabs>
          <w:tab w:val="num" w:pos="2880"/>
        </w:tabs>
        <w:ind w:left="2880" w:hanging="360"/>
      </w:pPr>
    </w:lvl>
    <w:lvl w:ilvl="4" w:tplc="22E050B0" w:tentative="1">
      <w:start w:val="1"/>
      <w:numFmt w:val="decimal"/>
      <w:lvlText w:val="%5."/>
      <w:lvlJc w:val="left"/>
      <w:pPr>
        <w:tabs>
          <w:tab w:val="num" w:pos="3600"/>
        </w:tabs>
        <w:ind w:left="3600" w:hanging="360"/>
      </w:pPr>
    </w:lvl>
    <w:lvl w:ilvl="5" w:tplc="F7D655EE" w:tentative="1">
      <w:start w:val="1"/>
      <w:numFmt w:val="decimal"/>
      <w:lvlText w:val="%6."/>
      <w:lvlJc w:val="left"/>
      <w:pPr>
        <w:tabs>
          <w:tab w:val="num" w:pos="4320"/>
        </w:tabs>
        <w:ind w:left="4320" w:hanging="360"/>
      </w:pPr>
    </w:lvl>
    <w:lvl w:ilvl="6" w:tplc="F716BF6A" w:tentative="1">
      <w:start w:val="1"/>
      <w:numFmt w:val="decimal"/>
      <w:lvlText w:val="%7."/>
      <w:lvlJc w:val="left"/>
      <w:pPr>
        <w:tabs>
          <w:tab w:val="num" w:pos="5040"/>
        </w:tabs>
        <w:ind w:left="5040" w:hanging="360"/>
      </w:pPr>
    </w:lvl>
    <w:lvl w:ilvl="7" w:tplc="F93402BC" w:tentative="1">
      <w:start w:val="1"/>
      <w:numFmt w:val="decimal"/>
      <w:lvlText w:val="%8."/>
      <w:lvlJc w:val="left"/>
      <w:pPr>
        <w:tabs>
          <w:tab w:val="num" w:pos="5760"/>
        </w:tabs>
        <w:ind w:left="5760" w:hanging="360"/>
      </w:pPr>
    </w:lvl>
    <w:lvl w:ilvl="8" w:tplc="5D4ED3B2" w:tentative="1">
      <w:start w:val="1"/>
      <w:numFmt w:val="decimal"/>
      <w:lvlText w:val="%9."/>
      <w:lvlJc w:val="left"/>
      <w:pPr>
        <w:tabs>
          <w:tab w:val="num" w:pos="6480"/>
        </w:tabs>
        <w:ind w:left="6480" w:hanging="360"/>
      </w:pPr>
    </w:lvl>
  </w:abstractNum>
  <w:abstractNum w:abstractNumId="37" w15:restartNumberingAfterBreak="0">
    <w:nsid w:val="5AEB400F"/>
    <w:multiLevelType w:val="multilevel"/>
    <w:tmpl w:val="628855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A86DC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5FBF6624"/>
    <w:multiLevelType w:val="multilevel"/>
    <w:tmpl w:val="8F182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673F11"/>
    <w:multiLevelType w:val="multilevel"/>
    <w:tmpl w:val="15B063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C210E4D"/>
    <w:multiLevelType w:val="hybridMultilevel"/>
    <w:tmpl w:val="943E8C70"/>
    <w:lvl w:ilvl="0" w:tplc="38E65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E5FBF"/>
    <w:multiLevelType w:val="multilevel"/>
    <w:tmpl w:val="DFE4CAC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1093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3E0C9A"/>
    <w:multiLevelType w:val="multilevel"/>
    <w:tmpl w:val="019630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FF5F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F227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A20888"/>
    <w:multiLevelType w:val="hybridMultilevel"/>
    <w:tmpl w:val="0A62A162"/>
    <w:lvl w:ilvl="0" w:tplc="38E65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46"/>
  </w:num>
  <w:num w:numId="3">
    <w:abstractNumId w:val="4"/>
  </w:num>
  <w:num w:numId="4">
    <w:abstractNumId w:val="29"/>
  </w:num>
  <w:num w:numId="5">
    <w:abstractNumId w:val="7"/>
  </w:num>
  <w:num w:numId="6">
    <w:abstractNumId w:val="15"/>
  </w:num>
  <w:num w:numId="7">
    <w:abstractNumId w:val="5"/>
  </w:num>
  <w:num w:numId="8">
    <w:abstractNumId w:val="42"/>
  </w:num>
  <w:num w:numId="9">
    <w:abstractNumId w:val="11"/>
  </w:num>
  <w:num w:numId="10">
    <w:abstractNumId w:val="4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4"/>
  </w:num>
  <w:num w:numId="14">
    <w:abstractNumId w:val="47"/>
  </w:num>
  <w:num w:numId="15">
    <w:abstractNumId w:val="41"/>
  </w:num>
  <w:num w:numId="16">
    <w:abstractNumId w:val="43"/>
  </w:num>
  <w:num w:numId="17">
    <w:abstractNumId w:val="45"/>
  </w:num>
  <w:num w:numId="18">
    <w:abstractNumId w:val="37"/>
  </w:num>
  <w:num w:numId="19">
    <w:abstractNumId w:val="30"/>
  </w:num>
  <w:num w:numId="20">
    <w:abstractNumId w:val="23"/>
  </w:num>
  <w:num w:numId="21">
    <w:abstractNumId w:val="25"/>
  </w:num>
  <w:num w:numId="22">
    <w:abstractNumId w:val="33"/>
  </w:num>
  <w:num w:numId="23">
    <w:abstractNumId w:val="13"/>
  </w:num>
  <w:num w:numId="24">
    <w:abstractNumId w:val="10"/>
  </w:num>
  <w:num w:numId="25">
    <w:abstractNumId w:val="16"/>
  </w:num>
  <w:num w:numId="26">
    <w:abstractNumId w:val="18"/>
  </w:num>
  <w:num w:numId="27">
    <w:abstractNumId w:val="38"/>
  </w:num>
  <w:num w:numId="28">
    <w:abstractNumId w:val="26"/>
  </w:num>
  <w:num w:numId="29">
    <w:abstractNumId w:val="39"/>
  </w:num>
  <w:num w:numId="30">
    <w:abstractNumId w:val="1"/>
  </w:num>
  <w:num w:numId="31">
    <w:abstractNumId w:val="8"/>
  </w:num>
  <w:num w:numId="32">
    <w:abstractNumId w:val="19"/>
  </w:num>
  <w:num w:numId="33">
    <w:abstractNumId w:val="32"/>
  </w:num>
  <w:num w:numId="34">
    <w:abstractNumId w:val="2"/>
  </w:num>
  <w:num w:numId="35">
    <w:abstractNumId w:val="22"/>
  </w:num>
  <w:num w:numId="36">
    <w:abstractNumId w:val="0"/>
  </w:num>
  <w:num w:numId="37">
    <w:abstractNumId w:val="28"/>
  </w:num>
  <w:num w:numId="38">
    <w:abstractNumId w:val="27"/>
  </w:num>
  <w:num w:numId="39">
    <w:abstractNumId w:val="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0"/>
  </w:num>
  <w:num w:numId="45">
    <w:abstractNumId w:val="17"/>
  </w:num>
  <w:num w:numId="46">
    <w:abstractNumId w:val="9"/>
  </w:num>
  <w:num w:numId="47">
    <w:abstractNumId w:val="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sspezxpswprxedwfqp9fae9fszzs2dxzta&quot;&gt;EndNote Library - Syed Marwan&lt;record-ids&gt;&lt;item&gt;15&lt;/item&gt;&lt;item&gt;18&lt;/item&gt;&lt;item&gt;20&lt;/item&gt;&lt;item&gt;23&lt;/item&gt;&lt;item&gt;27&lt;/item&gt;&lt;item&gt;35&lt;/item&gt;&lt;item&gt;39&lt;/item&gt;&lt;item&gt;40&lt;/item&gt;&lt;item&gt;42&lt;/item&gt;&lt;item&gt;51&lt;/item&gt;&lt;item&gt;59&lt;/item&gt;&lt;item&gt;60&lt;/item&gt;&lt;item&gt;86&lt;/item&gt;&lt;item&gt;89&lt;/item&gt;&lt;item&gt;90&lt;/item&gt;&lt;item&gt;102&lt;/item&gt;&lt;item&gt;103&lt;/item&gt;&lt;item&gt;124&lt;/item&gt;&lt;item&gt;130&lt;/item&gt;&lt;item&gt;141&lt;/item&gt;&lt;item&gt;146&lt;/item&gt;&lt;item&gt;160&lt;/item&gt;&lt;item&gt;208&lt;/item&gt;&lt;item&gt;214&lt;/item&gt;&lt;item&gt;279&lt;/item&gt;&lt;item&gt;287&lt;/item&gt;&lt;item&gt;294&lt;/item&gt;&lt;item&gt;295&lt;/item&gt;&lt;item&gt;296&lt;/item&gt;&lt;item&gt;297&lt;/item&gt;&lt;item&gt;298&lt;/item&gt;&lt;item&gt;302&lt;/item&gt;&lt;item&gt;307&lt;/item&gt;&lt;item&gt;309&lt;/item&gt;&lt;item&gt;312&lt;/item&gt;&lt;item&gt;313&lt;/item&gt;&lt;item&gt;314&lt;/item&gt;&lt;item&gt;315&lt;/item&gt;&lt;item&gt;316&lt;/item&gt;&lt;item&gt;317&lt;/item&gt;&lt;item&gt;319&lt;/item&gt;&lt;item&gt;320&lt;/item&gt;&lt;item&gt;321&lt;/item&gt;&lt;/record-ids&gt;&lt;/item&gt;&lt;/Libraries&gt;"/>
  </w:docVars>
  <w:rsids>
    <w:rsidRoot w:val="00721A5C"/>
    <w:rsid w:val="00004C31"/>
    <w:rsid w:val="0000779B"/>
    <w:rsid w:val="0001007F"/>
    <w:rsid w:val="00012FDE"/>
    <w:rsid w:val="0001589A"/>
    <w:rsid w:val="00024F96"/>
    <w:rsid w:val="00026BA0"/>
    <w:rsid w:val="00030BC3"/>
    <w:rsid w:val="00031DF2"/>
    <w:rsid w:val="00034D8C"/>
    <w:rsid w:val="00046B89"/>
    <w:rsid w:val="0005231F"/>
    <w:rsid w:val="00055569"/>
    <w:rsid w:val="00065C38"/>
    <w:rsid w:val="000813F5"/>
    <w:rsid w:val="000A6821"/>
    <w:rsid w:val="000A683D"/>
    <w:rsid w:val="000B1D3D"/>
    <w:rsid w:val="000D61D6"/>
    <w:rsid w:val="000E1BBB"/>
    <w:rsid w:val="000E3D0B"/>
    <w:rsid w:val="000E45E0"/>
    <w:rsid w:val="000F5AA6"/>
    <w:rsid w:val="0011384B"/>
    <w:rsid w:val="00116C1A"/>
    <w:rsid w:val="001200CB"/>
    <w:rsid w:val="00136E70"/>
    <w:rsid w:val="00164523"/>
    <w:rsid w:val="00174503"/>
    <w:rsid w:val="00176BE0"/>
    <w:rsid w:val="00193EB4"/>
    <w:rsid w:val="001B0C5F"/>
    <w:rsid w:val="001C149F"/>
    <w:rsid w:val="001C3EED"/>
    <w:rsid w:val="001D3DB3"/>
    <w:rsid w:val="001E1918"/>
    <w:rsid w:val="001F6108"/>
    <w:rsid w:val="00220ADE"/>
    <w:rsid w:val="002268A6"/>
    <w:rsid w:val="002306CF"/>
    <w:rsid w:val="0024200F"/>
    <w:rsid w:val="00252390"/>
    <w:rsid w:val="00262003"/>
    <w:rsid w:val="00262B73"/>
    <w:rsid w:val="00287566"/>
    <w:rsid w:val="002A4949"/>
    <w:rsid w:val="002C0101"/>
    <w:rsid w:val="002C2715"/>
    <w:rsid w:val="002C4B2C"/>
    <w:rsid w:val="002D07E2"/>
    <w:rsid w:val="002D1738"/>
    <w:rsid w:val="002D3F89"/>
    <w:rsid w:val="002D602B"/>
    <w:rsid w:val="002E46B0"/>
    <w:rsid w:val="002E4784"/>
    <w:rsid w:val="002E59CE"/>
    <w:rsid w:val="002E6A52"/>
    <w:rsid w:val="002F51B2"/>
    <w:rsid w:val="00316B6C"/>
    <w:rsid w:val="00326C35"/>
    <w:rsid w:val="00330655"/>
    <w:rsid w:val="00331C74"/>
    <w:rsid w:val="00334E8A"/>
    <w:rsid w:val="003675AD"/>
    <w:rsid w:val="00373624"/>
    <w:rsid w:val="00384B8E"/>
    <w:rsid w:val="003A570C"/>
    <w:rsid w:val="003C2A19"/>
    <w:rsid w:val="003D57E6"/>
    <w:rsid w:val="003E2491"/>
    <w:rsid w:val="003F0BE6"/>
    <w:rsid w:val="003F2B0B"/>
    <w:rsid w:val="00400BB5"/>
    <w:rsid w:val="004022AA"/>
    <w:rsid w:val="00414191"/>
    <w:rsid w:val="00414C2B"/>
    <w:rsid w:val="0043792A"/>
    <w:rsid w:val="0046477C"/>
    <w:rsid w:val="0046759D"/>
    <w:rsid w:val="004760AC"/>
    <w:rsid w:val="00481120"/>
    <w:rsid w:val="004877CE"/>
    <w:rsid w:val="004B0F41"/>
    <w:rsid w:val="004B691D"/>
    <w:rsid w:val="004B736E"/>
    <w:rsid w:val="004C5458"/>
    <w:rsid w:val="004D4FFE"/>
    <w:rsid w:val="004E4224"/>
    <w:rsid w:val="0050707B"/>
    <w:rsid w:val="0054205B"/>
    <w:rsid w:val="00575BCD"/>
    <w:rsid w:val="00587100"/>
    <w:rsid w:val="005A6E03"/>
    <w:rsid w:val="005D1FC5"/>
    <w:rsid w:val="005E0D2F"/>
    <w:rsid w:val="005E4B52"/>
    <w:rsid w:val="006023C1"/>
    <w:rsid w:val="00602F92"/>
    <w:rsid w:val="00611090"/>
    <w:rsid w:val="006203D3"/>
    <w:rsid w:val="00626B1B"/>
    <w:rsid w:val="00634E4E"/>
    <w:rsid w:val="00642C4A"/>
    <w:rsid w:val="00655AAF"/>
    <w:rsid w:val="00663638"/>
    <w:rsid w:val="00665074"/>
    <w:rsid w:val="0067430D"/>
    <w:rsid w:val="006B65D1"/>
    <w:rsid w:val="006F1891"/>
    <w:rsid w:val="006F1D94"/>
    <w:rsid w:val="006F37ED"/>
    <w:rsid w:val="00700B7C"/>
    <w:rsid w:val="00704790"/>
    <w:rsid w:val="00705131"/>
    <w:rsid w:val="00711632"/>
    <w:rsid w:val="007121EF"/>
    <w:rsid w:val="0072053D"/>
    <w:rsid w:val="007206D2"/>
    <w:rsid w:val="00721A5C"/>
    <w:rsid w:val="007220ED"/>
    <w:rsid w:val="0074139B"/>
    <w:rsid w:val="00752ADF"/>
    <w:rsid w:val="0075766E"/>
    <w:rsid w:val="00770EBD"/>
    <w:rsid w:val="00771BC6"/>
    <w:rsid w:val="00794E1D"/>
    <w:rsid w:val="00797690"/>
    <w:rsid w:val="007C1583"/>
    <w:rsid w:val="007C4405"/>
    <w:rsid w:val="007D6599"/>
    <w:rsid w:val="007F2604"/>
    <w:rsid w:val="007F3054"/>
    <w:rsid w:val="007F3261"/>
    <w:rsid w:val="008007AC"/>
    <w:rsid w:val="00804A76"/>
    <w:rsid w:val="00807857"/>
    <w:rsid w:val="0081788D"/>
    <w:rsid w:val="00821106"/>
    <w:rsid w:val="00827CB5"/>
    <w:rsid w:val="008314E1"/>
    <w:rsid w:val="00831F0B"/>
    <w:rsid w:val="00836223"/>
    <w:rsid w:val="00841E95"/>
    <w:rsid w:val="00851040"/>
    <w:rsid w:val="00851A8D"/>
    <w:rsid w:val="00864D1C"/>
    <w:rsid w:val="00876C6F"/>
    <w:rsid w:val="008A76E1"/>
    <w:rsid w:val="008C15EE"/>
    <w:rsid w:val="008D4F01"/>
    <w:rsid w:val="008F0AEB"/>
    <w:rsid w:val="008F4AF3"/>
    <w:rsid w:val="00902146"/>
    <w:rsid w:val="00910F37"/>
    <w:rsid w:val="00913D3F"/>
    <w:rsid w:val="00942AE4"/>
    <w:rsid w:val="00945941"/>
    <w:rsid w:val="009467A1"/>
    <w:rsid w:val="009501D5"/>
    <w:rsid w:val="00952238"/>
    <w:rsid w:val="009642D3"/>
    <w:rsid w:val="0096655F"/>
    <w:rsid w:val="00966EE3"/>
    <w:rsid w:val="009719A7"/>
    <w:rsid w:val="00981CB6"/>
    <w:rsid w:val="00997297"/>
    <w:rsid w:val="009A3C54"/>
    <w:rsid w:val="009B2B1B"/>
    <w:rsid w:val="009B544A"/>
    <w:rsid w:val="009D7E18"/>
    <w:rsid w:val="009E3981"/>
    <w:rsid w:val="009F6B97"/>
    <w:rsid w:val="00A02396"/>
    <w:rsid w:val="00A0272D"/>
    <w:rsid w:val="00A07BE8"/>
    <w:rsid w:val="00A1075F"/>
    <w:rsid w:val="00A130CF"/>
    <w:rsid w:val="00A15404"/>
    <w:rsid w:val="00A229C9"/>
    <w:rsid w:val="00A23D5F"/>
    <w:rsid w:val="00A331E4"/>
    <w:rsid w:val="00A46DD5"/>
    <w:rsid w:val="00A51E89"/>
    <w:rsid w:val="00A51ECA"/>
    <w:rsid w:val="00A56E82"/>
    <w:rsid w:val="00A94ED3"/>
    <w:rsid w:val="00AA2746"/>
    <w:rsid w:val="00AC0557"/>
    <w:rsid w:val="00AC163C"/>
    <w:rsid w:val="00AD7DE0"/>
    <w:rsid w:val="00AF663F"/>
    <w:rsid w:val="00B038CF"/>
    <w:rsid w:val="00B1479C"/>
    <w:rsid w:val="00B20F6D"/>
    <w:rsid w:val="00B26AA2"/>
    <w:rsid w:val="00B2713A"/>
    <w:rsid w:val="00B31E35"/>
    <w:rsid w:val="00B64799"/>
    <w:rsid w:val="00B77A2B"/>
    <w:rsid w:val="00B86C2C"/>
    <w:rsid w:val="00B91C95"/>
    <w:rsid w:val="00BB256C"/>
    <w:rsid w:val="00BB3465"/>
    <w:rsid w:val="00BD6F68"/>
    <w:rsid w:val="00BE107D"/>
    <w:rsid w:val="00BE3F8A"/>
    <w:rsid w:val="00C00F7E"/>
    <w:rsid w:val="00C03FEB"/>
    <w:rsid w:val="00C150B5"/>
    <w:rsid w:val="00C32E37"/>
    <w:rsid w:val="00C42E7D"/>
    <w:rsid w:val="00C4757C"/>
    <w:rsid w:val="00C47D5B"/>
    <w:rsid w:val="00C93B14"/>
    <w:rsid w:val="00C97CC1"/>
    <w:rsid w:val="00CB4932"/>
    <w:rsid w:val="00CF48E5"/>
    <w:rsid w:val="00D01A6B"/>
    <w:rsid w:val="00D1600F"/>
    <w:rsid w:val="00D25C91"/>
    <w:rsid w:val="00D34273"/>
    <w:rsid w:val="00D36276"/>
    <w:rsid w:val="00D44947"/>
    <w:rsid w:val="00D71D40"/>
    <w:rsid w:val="00D737AA"/>
    <w:rsid w:val="00D76A19"/>
    <w:rsid w:val="00D82545"/>
    <w:rsid w:val="00DA5470"/>
    <w:rsid w:val="00DC0294"/>
    <w:rsid w:val="00DC21E8"/>
    <w:rsid w:val="00DD0127"/>
    <w:rsid w:val="00DD12AE"/>
    <w:rsid w:val="00DF131F"/>
    <w:rsid w:val="00E0122E"/>
    <w:rsid w:val="00E0208C"/>
    <w:rsid w:val="00E0724C"/>
    <w:rsid w:val="00E211A9"/>
    <w:rsid w:val="00E450D6"/>
    <w:rsid w:val="00E53ED8"/>
    <w:rsid w:val="00E62541"/>
    <w:rsid w:val="00E62756"/>
    <w:rsid w:val="00E7674F"/>
    <w:rsid w:val="00E76F34"/>
    <w:rsid w:val="00E95AF6"/>
    <w:rsid w:val="00E95E84"/>
    <w:rsid w:val="00EB00B5"/>
    <w:rsid w:val="00EB2044"/>
    <w:rsid w:val="00EC7602"/>
    <w:rsid w:val="00ED0F2B"/>
    <w:rsid w:val="00EE21AB"/>
    <w:rsid w:val="00EE4F87"/>
    <w:rsid w:val="00F05957"/>
    <w:rsid w:val="00F243DD"/>
    <w:rsid w:val="00F25F9C"/>
    <w:rsid w:val="00F35EC6"/>
    <w:rsid w:val="00F3761C"/>
    <w:rsid w:val="00F447B7"/>
    <w:rsid w:val="00F52528"/>
    <w:rsid w:val="00F67777"/>
    <w:rsid w:val="00F712C4"/>
    <w:rsid w:val="00F73ABE"/>
    <w:rsid w:val="00F83BBA"/>
    <w:rsid w:val="00F86DB3"/>
    <w:rsid w:val="00F905AD"/>
    <w:rsid w:val="00F9581D"/>
    <w:rsid w:val="00F968B3"/>
    <w:rsid w:val="00FC4B5B"/>
    <w:rsid w:val="00FE54B2"/>
    <w:rsid w:val="00FF3017"/>
    <w:rsid w:val="00FF54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59271"/>
  <w15:docId w15:val="{8A349742-775D-4EFC-98A0-ED259C97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77"/>
    <w:pPr>
      <w:spacing w:after="240"/>
      <w:jc w:val="both"/>
    </w:pPr>
    <w:rPr>
      <w:rFonts w:ascii="Times New Roman" w:hAnsi="Times New Roman" w:cs="Times New Roman"/>
      <w:sz w:val="24"/>
      <w:szCs w:val="24"/>
    </w:rPr>
  </w:style>
  <w:style w:type="paragraph" w:styleId="Heading1">
    <w:name w:val="heading 1"/>
    <w:basedOn w:val="Title"/>
    <w:next w:val="Normal"/>
    <w:link w:val="Heading1Char"/>
    <w:uiPriority w:val="9"/>
    <w:qFormat/>
    <w:rsid w:val="002E4784"/>
    <w:pPr>
      <w:numPr>
        <w:numId w:val="37"/>
      </w:numPr>
      <w:outlineLvl w:val="0"/>
    </w:pPr>
    <w:rPr>
      <w:rFonts w:ascii="Times New Roman" w:hAnsi="Times New Roman" w:cs="Times New Roman"/>
      <w:b/>
      <w:color w:val="000000" w:themeColor="text1"/>
      <w:sz w:val="24"/>
      <w:szCs w:val="24"/>
    </w:rPr>
  </w:style>
  <w:style w:type="paragraph" w:styleId="Heading2">
    <w:name w:val="heading 2"/>
    <w:basedOn w:val="Heading1"/>
    <w:next w:val="Normal"/>
    <w:link w:val="Heading2Char"/>
    <w:uiPriority w:val="9"/>
    <w:unhideWhenUsed/>
    <w:qFormat/>
    <w:rsid w:val="002E4784"/>
    <w:pPr>
      <w:numPr>
        <w:ilvl w:val="1"/>
      </w:numPr>
      <w:outlineLvl w:val="1"/>
    </w:pPr>
  </w:style>
  <w:style w:type="paragraph" w:styleId="Heading3">
    <w:name w:val="heading 3"/>
    <w:basedOn w:val="Normal"/>
    <w:next w:val="Normal"/>
    <w:link w:val="Heading3Char"/>
    <w:uiPriority w:val="9"/>
    <w:unhideWhenUsed/>
    <w:qFormat/>
    <w:rsid w:val="00F9581D"/>
    <w:pPr>
      <w:keepNext/>
      <w:keepLines/>
      <w:numPr>
        <w:ilvl w:val="2"/>
        <w:numId w:val="27"/>
      </w:numPr>
      <w:spacing w:before="40"/>
      <w:outlineLvl w:val="2"/>
    </w:pPr>
    <w:rPr>
      <w:rFonts w:asciiTheme="majorBidi" w:eastAsiaTheme="majorEastAsia" w:hAnsiTheme="majorBidi" w:cstheme="majorBidi"/>
      <w:b/>
    </w:rPr>
  </w:style>
  <w:style w:type="paragraph" w:styleId="Heading4">
    <w:name w:val="heading 4"/>
    <w:basedOn w:val="Normal"/>
    <w:next w:val="Normal"/>
    <w:link w:val="Heading4Char"/>
    <w:uiPriority w:val="9"/>
    <w:unhideWhenUsed/>
    <w:qFormat/>
    <w:rsid w:val="002306CF"/>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306CF"/>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06CF"/>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306CF"/>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306C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06C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A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A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4784"/>
    <w:rPr>
      <w:rFonts w:ascii="Times New Roman" w:eastAsiaTheme="majorEastAsia" w:hAnsi="Times New Roman" w:cs="Times New Roman"/>
      <w:b/>
      <w:color w:val="000000" w:themeColor="text1"/>
      <w:spacing w:val="-10"/>
      <w:kern w:val="28"/>
      <w:sz w:val="24"/>
      <w:szCs w:val="24"/>
    </w:rPr>
  </w:style>
  <w:style w:type="character" w:customStyle="1" w:styleId="Heading2Char">
    <w:name w:val="Heading 2 Char"/>
    <w:basedOn w:val="DefaultParagraphFont"/>
    <w:link w:val="Heading2"/>
    <w:uiPriority w:val="9"/>
    <w:rsid w:val="002E4784"/>
    <w:rPr>
      <w:rFonts w:ascii="Times New Roman" w:eastAsiaTheme="majorEastAsia" w:hAnsi="Times New Roman" w:cs="Times New Roman"/>
      <w:b/>
      <w:color w:val="000000" w:themeColor="text1"/>
      <w:spacing w:val="-10"/>
      <w:kern w:val="28"/>
      <w:sz w:val="24"/>
      <w:szCs w:val="24"/>
    </w:rPr>
  </w:style>
  <w:style w:type="character" w:customStyle="1" w:styleId="Heading3Char">
    <w:name w:val="Heading 3 Char"/>
    <w:basedOn w:val="DefaultParagraphFont"/>
    <w:link w:val="Heading3"/>
    <w:uiPriority w:val="9"/>
    <w:rsid w:val="00F9581D"/>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2306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306C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306C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306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306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6C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C21E8"/>
    <w:rPr>
      <w:color w:val="0563C1" w:themeColor="hyperlink"/>
      <w:u w:val="single"/>
    </w:rPr>
  </w:style>
  <w:style w:type="character" w:styleId="FollowedHyperlink">
    <w:name w:val="FollowedHyperlink"/>
    <w:basedOn w:val="DefaultParagraphFont"/>
    <w:uiPriority w:val="99"/>
    <w:semiHidden/>
    <w:unhideWhenUsed/>
    <w:rsid w:val="00C32E37"/>
    <w:rPr>
      <w:color w:val="954F72" w:themeColor="followedHyperlink"/>
      <w:u w:val="single"/>
    </w:rPr>
  </w:style>
  <w:style w:type="paragraph" w:styleId="ListParagraph">
    <w:name w:val="List Paragraph"/>
    <w:basedOn w:val="Normal"/>
    <w:uiPriority w:val="34"/>
    <w:qFormat/>
    <w:rsid w:val="00F52528"/>
    <w:pPr>
      <w:ind w:left="720"/>
      <w:contextualSpacing/>
    </w:pPr>
  </w:style>
  <w:style w:type="paragraph" w:customStyle="1" w:styleId="EndNoteBibliographyTitle">
    <w:name w:val="EndNote Bibliography Title"/>
    <w:basedOn w:val="Normal"/>
    <w:link w:val="EndNoteBibliographyTitleChar"/>
    <w:rsid w:val="00634E4E"/>
    <w:pPr>
      <w:jc w:val="center"/>
    </w:pPr>
    <w:rPr>
      <w:noProof/>
      <w:lang w:val="en-US"/>
    </w:rPr>
  </w:style>
  <w:style w:type="character" w:customStyle="1" w:styleId="EndNoteBibliographyTitleChar">
    <w:name w:val="EndNote Bibliography Title Char"/>
    <w:basedOn w:val="DefaultParagraphFont"/>
    <w:link w:val="EndNoteBibliographyTitle"/>
    <w:rsid w:val="00634E4E"/>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634E4E"/>
    <w:pPr>
      <w:spacing w:line="240" w:lineRule="auto"/>
    </w:pPr>
    <w:rPr>
      <w:noProof/>
      <w:lang w:val="en-US"/>
    </w:rPr>
  </w:style>
  <w:style w:type="character" w:customStyle="1" w:styleId="EndNoteBibliographyChar">
    <w:name w:val="EndNote Bibliography Char"/>
    <w:basedOn w:val="DefaultParagraphFont"/>
    <w:link w:val="EndNoteBibliography"/>
    <w:rsid w:val="00634E4E"/>
    <w:rPr>
      <w:rFonts w:ascii="Times New Roman" w:hAnsi="Times New Roman" w:cs="Times New Roman"/>
      <w:noProof/>
      <w:sz w:val="24"/>
      <w:szCs w:val="24"/>
      <w:lang w:val="en-US"/>
    </w:rPr>
  </w:style>
  <w:style w:type="paragraph" w:styleId="NoSpacing">
    <w:name w:val="No Spacing"/>
    <w:aliases w:val="Chart font,chart font"/>
    <w:link w:val="NoSpacingChar"/>
    <w:uiPriority w:val="1"/>
    <w:qFormat/>
    <w:rsid w:val="00B31E35"/>
    <w:pPr>
      <w:spacing w:after="0" w:line="240" w:lineRule="auto"/>
    </w:pPr>
    <w:rPr>
      <w:rFonts w:ascii="Times New Roman" w:eastAsia="KaiTi" w:hAnsi="Times New Roman"/>
      <w:sz w:val="20"/>
    </w:rPr>
  </w:style>
  <w:style w:type="character" w:customStyle="1" w:styleId="NoSpacingChar">
    <w:name w:val="No Spacing Char"/>
    <w:aliases w:val="Chart font Char,chart font Char"/>
    <w:basedOn w:val="DefaultParagraphFont"/>
    <w:link w:val="NoSpacing"/>
    <w:uiPriority w:val="1"/>
    <w:rsid w:val="00B31E35"/>
    <w:rPr>
      <w:rFonts w:ascii="Times New Roman" w:eastAsia="KaiTi" w:hAnsi="Times New Roman"/>
      <w:sz w:val="20"/>
    </w:rPr>
  </w:style>
  <w:style w:type="paragraph" w:styleId="NormalWeb">
    <w:name w:val="Normal (Web)"/>
    <w:basedOn w:val="Normal"/>
    <w:uiPriority w:val="99"/>
    <w:unhideWhenUsed/>
    <w:rsid w:val="00B31E35"/>
    <w:pPr>
      <w:spacing w:before="100" w:beforeAutospacing="1" w:after="100" w:afterAutospacing="1" w:line="240" w:lineRule="auto"/>
      <w:ind w:firstLine="680"/>
    </w:pPr>
    <w:rPr>
      <w:rFonts w:eastAsia="Times New Roman"/>
      <w:lang w:eastAsia="en-GB"/>
    </w:rPr>
  </w:style>
  <w:style w:type="paragraph" w:styleId="Caption">
    <w:name w:val="caption"/>
    <w:basedOn w:val="Normal"/>
    <w:next w:val="Normal"/>
    <w:uiPriority w:val="35"/>
    <w:unhideWhenUsed/>
    <w:qFormat/>
    <w:rsid w:val="002E6A52"/>
    <w:pPr>
      <w:keepNext/>
      <w:spacing w:after="200" w:line="240" w:lineRule="auto"/>
      <w:jc w:val="center"/>
    </w:pPr>
    <w:rPr>
      <w:b/>
      <w:iCs/>
    </w:rPr>
  </w:style>
  <w:style w:type="paragraph" w:customStyle="1" w:styleId="sourcestyle">
    <w:name w:val="source style"/>
    <w:basedOn w:val="Normal"/>
    <w:link w:val="sourcestyleChar"/>
    <w:qFormat/>
    <w:rsid w:val="00B77A2B"/>
    <w:pPr>
      <w:jc w:val="center"/>
    </w:pPr>
    <w:rPr>
      <w:i/>
      <w:sz w:val="20"/>
      <w:szCs w:val="20"/>
    </w:rPr>
  </w:style>
  <w:style w:type="character" w:customStyle="1" w:styleId="sourcestyleChar">
    <w:name w:val="source style Char"/>
    <w:basedOn w:val="DefaultParagraphFont"/>
    <w:link w:val="sourcestyle"/>
    <w:rsid w:val="00B77A2B"/>
    <w:rPr>
      <w:rFonts w:ascii="Times New Roman" w:hAnsi="Times New Roman" w:cs="Times New Roman"/>
      <w:i/>
      <w:sz w:val="20"/>
      <w:szCs w:val="20"/>
    </w:rPr>
  </w:style>
  <w:style w:type="paragraph" w:styleId="FootnoteText">
    <w:name w:val="footnote text"/>
    <w:basedOn w:val="Normal"/>
    <w:link w:val="FootnoteTextChar"/>
    <w:uiPriority w:val="99"/>
    <w:unhideWhenUsed/>
    <w:rsid w:val="00B20F6D"/>
    <w:pPr>
      <w:spacing w:after="0" w:line="240" w:lineRule="auto"/>
      <w:jc w:val="left"/>
    </w:pPr>
    <w:rPr>
      <w:rFonts w:eastAsiaTheme="minorEastAsia"/>
    </w:rPr>
  </w:style>
  <w:style w:type="character" w:customStyle="1" w:styleId="FootnoteTextChar">
    <w:name w:val="Footnote Text Char"/>
    <w:basedOn w:val="DefaultParagraphFont"/>
    <w:link w:val="FootnoteText"/>
    <w:uiPriority w:val="99"/>
    <w:rsid w:val="00B20F6D"/>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B20F6D"/>
    <w:rPr>
      <w:vertAlign w:val="superscript"/>
    </w:rPr>
  </w:style>
  <w:style w:type="character" w:customStyle="1" w:styleId="apple-converted-space">
    <w:name w:val="apple-converted-space"/>
    <w:basedOn w:val="DefaultParagraphFont"/>
    <w:rsid w:val="00B20F6D"/>
  </w:style>
  <w:style w:type="character" w:styleId="Emphasis">
    <w:name w:val="Emphasis"/>
    <w:basedOn w:val="DefaultParagraphFont"/>
    <w:uiPriority w:val="20"/>
    <w:qFormat/>
    <w:rsid w:val="00B20F6D"/>
    <w:rPr>
      <w:i/>
      <w:iCs/>
    </w:rPr>
  </w:style>
  <w:style w:type="table" w:styleId="TableGrid">
    <w:name w:val="Table Grid"/>
    <w:basedOn w:val="TableNormal"/>
    <w:uiPriority w:val="59"/>
    <w:rsid w:val="007205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3D"/>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7205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42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2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758">
      <w:bodyDiv w:val="1"/>
      <w:marLeft w:val="0"/>
      <w:marRight w:val="0"/>
      <w:marTop w:val="0"/>
      <w:marBottom w:val="0"/>
      <w:divBdr>
        <w:top w:val="none" w:sz="0" w:space="0" w:color="auto"/>
        <w:left w:val="none" w:sz="0" w:space="0" w:color="auto"/>
        <w:bottom w:val="none" w:sz="0" w:space="0" w:color="auto"/>
        <w:right w:val="none" w:sz="0" w:space="0" w:color="auto"/>
      </w:divBdr>
    </w:div>
    <w:div w:id="178200466">
      <w:bodyDiv w:val="1"/>
      <w:marLeft w:val="0"/>
      <w:marRight w:val="0"/>
      <w:marTop w:val="0"/>
      <w:marBottom w:val="0"/>
      <w:divBdr>
        <w:top w:val="none" w:sz="0" w:space="0" w:color="auto"/>
        <w:left w:val="none" w:sz="0" w:space="0" w:color="auto"/>
        <w:bottom w:val="none" w:sz="0" w:space="0" w:color="auto"/>
        <w:right w:val="none" w:sz="0" w:space="0" w:color="auto"/>
      </w:divBdr>
    </w:div>
    <w:div w:id="267665043">
      <w:bodyDiv w:val="1"/>
      <w:marLeft w:val="0"/>
      <w:marRight w:val="0"/>
      <w:marTop w:val="0"/>
      <w:marBottom w:val="0"/>
      <w:divBdr>
        <w:top w:val="none" w:sz="0" w:space="0" w:color="auto"/>
        <w:left w:val="none" w:sz="0" w:space="0" w:color="auto"/>
        <w:bottom w:val="none" w:sz="0" w:space="0" w:color="auto"/>
        <w:right w:val="none" w:sz="0" w:space="0" w:color="auto"/>
      </w:divBdr>
    </w:div>
    <w:div w:id="536940188">
      <w:bodyDiv w:val="1"/>
      <w:marLeft w:val="0"/>
      <w:marRight w:val="0"/>
      <w:marTop w:val="0"/>
      <w:marBottom w:val="0"/>
      <w:divBdr>
        <w:top w:val="none" w:sz="0" w:space="0" w:color="auto"/>
        <w:left w:val="none" w:sz="0" w:space="0" w:color="auto"/>
        <w:bottom w:val="none" w:sz="0" w:space="0" w:color="auto"/>
        <w:right w:val="none" w:sz="0" w:space="0" w:color="auto"/>
      </w:divBdr>
    </w:div>
    <w:div w:id="853109648">
      <w:bodyDiv w:val="1"/>
      <w:marLeft w:val="0"/>
      <w:marRight w:val="0"/>
      <w:marTop w:val="0"/>
      <w:marBottom w:val="0"/>
      <w:divBdr>
        <w:top w:val="none" w:sz="0" w:space="0" w:color="auto"/>
        <w:left w:val="none" w:sz="0" w:space="0" w:color="auto"/>
        <w:bottom w:val="none" w:sz="0" w:space="0" w:color="auto"/>
        <w:right w:val="none" w:sz="0" w:space="0" w:color="auto"/>
      </w:divBdr>
    </w:div>
    <w:div w:id="1588616940">
      <w:bodyDiv w:val="1"/>
      <w:marLeft w:val="0"/>
      <w:marRight w:val="0"/>
      <w:marTop w:val="0"/>
      <w:marBottom w:val="0"/>
      <w:divBdr>
        <w:top w:val="none" w:sz="0" w:space="0" w:color="auto"/>
        <w:left w:val="none" w:sz="0" w:space="0" w:color="auto"/>
        <w:bottom w:val="none" w:sz="0" w:space="0" w:color="auto"/>
        <w:right w:val="none" w:sz="0" w:space="0" w:color="auto"/>
      </w:divBdr>
    </w:div>
    <w:div w:id="1632206510">
      <w:bodyDiv w:val="1"/>
      <w:marLeft w:val="0"/>
      <w:marRight w:val="0"/>
      <w:marTop w:val="0"/>
      <w:marBottom w:val="0"/>
      <w:divBdr>
        <w:top w:val="none" w:sz="0" w:space="0" w:color="auto"/>
        <w:left w:val="none" w:sz="0" w:space="0" w:color="auto"/>
        <w:bottom w:val="none" w:sz="0" w:space="0" w:color="auto"/>
        <w:right w:val="none" w:sz="0" w:space="0" w:color="auto"/>
      </w:divBdr>
    </w:div>
    <w:div w:id="1663116642">
      <w:bodyDiv w:val="1"/>
      <w:marLeft w:val="0"/>
      <w:marRight w:val="0"/>
      <w:marTop w:val="0"/>
      <w:marBottom w:val="0"/>
      <w:divBdr>
        <w:top w:val="none" w:sz="0" w:space="0" w:color="auto"/>
        <w:left w:val="none" w:sz="0" w:space="0" w:color="auto"/>
        <w:bottom w:val="none" w:sz="0" w:space="0" w:color="auto"/>
        <w:right w:val="none" w:sz="0" w:space="0" w:color="auto"/>
      </w:divBdr>
    </w:div>
    <w:div w:id="1663464846">
      <w:bodyDiv w:val="1"/>
      <w:marLeft w:val="0"/>
      <w:marRight w:val="0"/>
      <w:marTop w:val="0"/>
      <w:marBottom w:val="0"/>
      <w:divBdr>
        <w:top w:val="none" w:sz="0" w:space="0" w:color="auto"/>
        <w:left w:val="none" w:sz="0" w:space="0" w:color="auto"/>
        <w:bottom w:val="none" w:sz="0" w:space="0" w:color="auto"/>
        <w:right w:val="none" w:sz="0" w:space="0" w:color="auto"/>
      </w:divBdr>
    </w:div>
    <w:div w:id="1729526775">
      <w:bodyDiv w:val="1"/>
      <w:marLeft w:val="0"/>
      <w:marRight w:val="0"/>
      <w:marTop w:val="0"/>
      <w:marBottom w:val="0"/>
      <w:divBdr>
        <w:top w:val="none" w:sz="0" w:space="0" w:color="auto"/>
        <w:left w:val="none" w:sz="0" w:space="0" w:color="auto"/>
        <w:bottom w:val="none" w:sz="0" w:space="0" w:color="auto"/>
        <w:right w:val="none" w:sz="0" w:space="0" w:color="auto"/>
      </w:divBdr>
    </w:div>
    <w:div w:id="1745226744">
      <w:bodyDiv w:val="1"/>
      <w:marLeft w:val="0"/>
      <w:marRight w:val="0"/>
      <w:marTop w:val="0"/>
      <w:marBottom w:val="0"/>
      <w:divBdr>
        <w:top w:val="none" w:sz="0" w:space="0" w:color="auto"/>
        <w:left w:val="none" w:sz="0" w:space="0" w:color="auto"/>
        <w:bottom w:val="none" w:sz="0" w:space="0" w:color="auto"/>
        <w:right w:val="none" w:sz="0" w:space="0" w:color="auto"/>
      </w:divBdr>
    </w:div>
    <w:div w:id="1746953249">
      <w:bodyDiv w:val="1"/>
      <w:marLeft w:val="0"/>
      <w:marRight w:val="0"/>
      <w:marTop w:val="0"/>
      <w:marBottom w:val="0"/>
      <w:divBdr>
        <w:top w:val="none" w:sz="0" w:space="0" w:color="auto"/>
        <w:left w:val="none" w:sz="0" w:space="0" w:color="auto"/>
        <w:bottom w:val="none" w:sz="0" w:space="0" w:color="auto"/>
        <w:right w:val="none" w:sz="0" w:space="0" w:color="auto"/>
      </w:divBdr>
    </w:div>
    <w:div w:id="1755668772">
      <w:bodyDiv w:val="1"/>
      <w:marLeft w:val="0"/>
      <w:marRight w:val="0"/>
      <w:marTop w:val="0"/>
      <w:marBottom w:val="0"/>
      <w:divBdr>
        <w:top w:val="none" w:sz="0" w:space="0" w:color="auto"/>
        <w:left w:val="none" w:sz="0" w:space="0" w:color="auto"/>
        <w:bottom w:val="none" w:sz="0" w:space="0" w:color="auto"/>
        <w:right w:val="none" w:sz="0" w:space="0" w:color="auto"/>
      </w:divBdr>
    </w:div>
    <w:div w:id="1762137279">
      <w:bodyDiv w:val="1"/>
      <w:marLeft w:val="0"/>
      <w:marRight w:val="0"/>
      <w:marTop w:val="0"/>
      <w:marBottom w:val="0"/>
      <w:divBdr>
        <w:top w:val="none" w:sz="0" w:space="0" w:color="auto"/>
        <w:left w:val="none" w:sz="0" w:space="0" w:color="auto"/>
        <w:bottom w:val="none" w:sz="0" w:space="0" w:color="auto"/>
        <w:right w:val="none" w:sz="0" w:space="0" w:color="auto"/>
      </w:divBdr>
    </w:div>
    <w:div w:id="1970357932">
      <w:bodyDiv w:val="1"/>
      <w:marLeft w:val="0"/>
      <w:marRight w:val="0"/>
      <w:marTop w:val="0"/>
      <w:marBottom w:val="0"/>
      <w:divBdr>
        <w:top w:val="none" w:sz="0" w:space="0" w:color="auto"/>
        <w:left w:val="none" w:sz="0" w:space="0" w:color="auto"/>
        <w:bottom w:val="none" w:sz="0" w:space="0" w:color="auto"/>
        <w:right w:val="none" w:sz="0" w:space="0" w:color="auto"/>
      </w:divBdr>
    </w:div>
    <w:div w:id="20874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5974-ACC2-410D-8A44-04F0AA87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13531</Words>
  <Characters>77128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Marwan</dc:creator>
  <cp:keywords/>
  <dc:description/>
  <cp:lastModifiedBy>DR YAZIZ</cp:lastModifiedBy>
  <cp:revision>2</cp:revision>
  <cp:lastPrinted>2018-10-20T01:20:00Z</cp:lastPrinted>
  <dcterms:created xsi:type="dcterms:W3CDTF">2018-10-20T01:35:00Z</dcterms:created>
  <dcterms:modified xsi:type="dcterms:W3CDTF">2018-10-20T01:35:00Z</dcterms:modified>
</cp:coreProperties>
</file>